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На основу члана IV 4 а) Устава Босне и Херцеговине, Парламентарна скупштина Босне и Херцеговине, на 2. сједници Представничког дома, одржаној 18. децембра 2019. године и на 5. сједници Дома народа, одржаној 14. фебруара 2020. године, усвојила је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ЗАКОН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 ОСИГУРАЊУ ДЕПОЗИТА У БАНКАМА БОСНЕ И ХЕРЦЕГОВИНЕ</w:t>
      </w:r>
      <w:r w:rsidRPr="00250DAD">
        <w:rPr>
          <w:rFonts w:eastAsia="Times New Roman" w:cstheme="minorHAnsi"/>
          <w:sz w:val="24"/>
          <w:szCs w:val="24"/>
          <w:lang w:eastAsia="bs-Latn-BA"/>
        </w:rPr>
        <w:t xml:space="preserve">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ГЛАВA I - ОПШТЕ ОДРЕДБЕ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(Предмет закона)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Законoм о осигурању депозита у банкама Босне и Херцеговине (у даљем тексту: Закон) регулишу се: оснивање, статус, дјелатност, управљање и руковођење, овлашћења, обавезе и финансирање Агенције за осигурање депозита Босне и Херцеговине (у даљем тексту: Агенција).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Циљ овог закона је да обезбиједи, у оквиру ограничења одређених овим законом, заштитa депозита физичких и правних лица у банкама које су добиле дозволу за рад од Агенције за банкарство Федерације Босне и Херцеговине (у даљем тексту: ФБА) или Агенције за банкарство Републике Српске (у даљем тексту: РСАБ) те тиме допринесе очувању свеукупне финансијске стабилности.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(Дефиниција)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У смислу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а)</w:t>
      </w:r>
      <w:r w:rsidRPr="00250DAD">
        <w:rPr>
          <w:rFonts w:eastAsia="Times New Roman" w:cstheme="minorHAnsi"/>
          <w:b/>
          <w:bCs/>
          <w:sz w:val="24"/>
          <w:szCs w:val="24"/>
          <w:lang w:eastAsia="bs-Latn-BA"/>
        </w:rPr>
        <w:t xml:space="preserve"> агенција за банкарство</w:t>
      </w:r>
      <w:r w:rsidRPr="00250DAD">
        <w:rPr>
          <w:rFonts w:eastAsia="Times New Roman" w:cstheme="minorHAnsi"/>
          <w:sz w:val="24"/>
          <w:szCs w:val="24"/>
          <w:lang w:eastAsia="bs-Latn-BA"/>
        </w:rPr>
        <w:t xml:space="preserve"> је ФБА или РСАБ;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б)</w:t>
      </w:r>
      <w:r w:rsidRPr="00250DAD">
        <w:rPr>
          <w:rFonts w:eastAsia="Times New Roman" w:cstheme="minorHAnsi"/>
          <w:b/>
          <w:bCs/>
          <w:sz w:val="24"/>
          <w:szCs w:val="24"/>
          <w:lang w:eastAsia="bs-Latn-BA"/>
        </w:rPr>
        <w:t xml:space="preserve"> Фонд за осигурање депозита</w:t>
      </w:r>
      <w:r w:rsidRPr="00250DAD">
        <w:rPr>
          <w:rFonts w:eastAsia="Times New Roman" w:cstheme="minorHAnsi"/>
          <w:sz w:val="24"/>
          <w:szCs w:val="24"/>
          <w:lang w:eastAsia="bs-Latn-BA"/>
        </w:rPr>
        <w:t xml:space="preserve"> (у даљем тексту: Фонд) јесте рачун Агенције отворен у складу са чланом 13.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ц)</w:t>
      </w:r>
      <w:r w:rsidRPr="00250DAD">
        <w:rPr>
          <w:rFonts w:eastAsia="Times New Roman" w:cstheme="minorHAnsi"/>
          <w:b/>
          <w:bCs/>
          <w:sz w:val="24"/>
          <w:szCs w:val="24"/>
          <w:lang w:eastAsia="bs-Latn-BA"/>
        </w:rPr>
        <w:t xml:space="preserve"> циљани износ Фонда</w:t>
      </w:r>
      <w:r w:rsidRPr="00250DAD">
        <w:rPr>
          <w:rFonts w:eastAsia="Times New Roman" w:cstheme="minorHAnsi"/>
          <w:sz w:val="24"/>
          <w:szCs w:val="24"/>
          <w:lang w:eastAsia="bs-Latn-BA"/>
        </w:rPr>
        <w:t xml:space="preserve"> је износ средстава који је према средњорочној процјени ризика довољан да обезбиједи испуњавање законског мандата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д)</w:t>
      </w:r>
      <w:r w:rsidRPr="00250DAD">
        <w:rPr>
          <w:rFonts w:eastAsia="Times New Roman" w:cstheme="minorHAnsi"/>
          <w:b/>
          <w:bCs/>
          <w:sz w:val="24"/>
          <w:szCs w:val="24"/>
          <w:lang w:eastAsia="bs-Latn-BA"/>
        </w:rPr>
        <w:t xml:space="preserve"> депонент</w:t>
      </w:r>
      <w:r w:rsidRPr="00250DAD">
        <w:rPr>
          <w:rFonts w:eastAsia="Times New Roman" w:cstheme="minorHAnsi"/>
          <w:sz w:val="24"/>
          <w:szCs w:val="24"/>
          <w:lang w:eastAsia="bs-Latn-BA"/>
        </w:rPr>
        <w:t xml:space="preserve"> је физичко или правно лице које има прикладан депозит у банци чланици;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е)</w:t>
      </w:r>
      <w:r w:rsidRPr="00250DAD">
        <w:rPr>
          <w:rFonts w:eastAsia="Times New Roman" w:cstheme="minorHAnsi"/>
          <w:b/>
          <w:bCs/>
          <w:sz w:val="24"/>
          <w:szCs w:val="24"/>
          <w:lang w:eastAsia="bs-Latn-BA"/>
        </w:rPr>
        <w:t xml:space="preserve"> прикладан депозит</w:t>
      </w:r>
      <w:r w:rsidRPr="00250DAD">
        <w:rPr>
          <w:rFonts w:eastAsia="Times New Roman" w:cstheme="minorHAnsi"/>
          <w:sz w:val="24"/>
          <w:szCs w:val="24"/>
          <w:lang w:eastAsia="bs-Latn-BA"/>
        </w:rPr>
        <w:t xml:space="preserve"> је укупан износ свих средстава који резултирају из депозита, штедних рачуна или цертификата банке које је депонент депоновао у банци чланици умањено за искључења из члана 6. овог закона. Прикладни депозити чине основицу за обрачун премије осигурања;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ф)</w:t>
      </w:r>
      <w:r w:rsidRPr="00250DAD">
        <w:rPr>
          <w:rFonts w:eastAsia="Times New Roman" w:cstheme="minorHAnsi"/>
          <w:b/>
          <w:bCs/>
          <w:sz w:val="24"/>
          <w:szCs w:val="24"/>
          <w:lang w:eastAsia="bs-Latn-BA"/>
        </w:rPr>
        <w:t xml:space="preserve"> ентитет</w:t>
      </w:r>
      <w:r w:rsidRPr="00250DAD">
        <w:rPr>
          <w:rFonts w:eastAsia="Times New Roman" w:cstheme="minorHAnsi"/>
          <w:sz w:val="24"/>
          <w:szCs w:val="24"/>
          <w:lang w:eastAsia="bs-Latn-BA"/>
        </w:rPr>
        <w:t xml:space="preserve"> је ентитет Федерација Босне и Херцеговине (у даљем тексту: Федерација </w:t>
      </w:r>
      <w:r w:rsidRPr="00250DAD">
        <w:rPr>
          <w:rFonts w:eastAsia="Times New Roman" w:cstheme="minorHAnsi"/>
          <w:sz w:val="24"/>
          <w:szCs w:val="24"/>
          <w:lang w:eastAsia="bs-Latn-BA"/>
        </w:rPr>
        <w:lastRenderedPageBreak/>
        <w:t xml:space="preserve">БиХ) или Република Српска;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г)</w:t>
      </w:r>
      <w:r w:rsidRPr="00250DAD">
        <w:rPr>
          <w:rFonts w:eastAsia="Times New Roman" w:cstheme="minorHAnsi"/>
          <w:b/>
          <w:bCs/>
          <w:sz w:val="24"/>
          <w:szCs w:val="24"/>
          <w:lang w:eastAsia="bs-Latn-BA"/>
        </w:rPr>
        <w:t xml:space="preserve"> владин орган</w:t>
      </w:r>
      <w:r w:rsidRPr="00250DAD">
        <w:rPr>
          <w:rFonts w:eastAsia="Times New Roman" w:cstheme="minorHAnsi"/>
          <w:sz w:val="24"/>
          <w:szCs w:val="24"/>
          <w:lang w:eastAsia="bs-Latn-BA"/>
        </w:rPr>
        <w:t xml:space="preserve"> је домаћи или страни корисник владиних средстава без обзира на ниво власти, односно да ли се ради о државном, ентитетском, кантоналном или општинском, као и свако правно лице укључујући пензијске и здравствене фондове, који су у власништву или под контролом таквих корисника владиних средстава;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х)</w:t>
      </w:r>
      <w:r w:rsidRPr="00250DAD">
        <w:rPr>
          <w:rFonts w:eastAsia="Times New Roman" w:cstheme="minorHAnsi"/>
          <w:b/>
          <w:bCs/>
          <w:sz w:val="24"/>
          <w:szCs w:val="24"/>
          <w:lang w:eastAsia="bs-Latn-BA"/>
        </w:rPr>
        <w:t xml:space="preserve"> група друштава</w:t>
      </w:r>
      <w:r w:rsidRPr="00250DAD">
        <w:rPr>
          <w:rFonts w:eastAsia="Times New Roman" w:cstheme="minorHAnsi"/>
          <w:sz w:val="24"/>
          <w:szCs w:val="24"/>
          <w:lang w:eastAsia="bs-Latn-BA"/>
        </w:rPr>
        <w:t xml:space="preserve"> је група коју чине највише матично друштво правног лица, његова подређена друштва и придружена друштва друштава правног лица;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и)</w:t>
      </w:r>
      <w:r w:rsidRPr="00250DAD">
        <w:rPr>
          <w:rFonts w:eastAsia="Times New Roman" w:cstheme="minorHAnsi"/>
          <w:b/>
          <w:bCs/>
          <w:sz w:val="24"/>
          <w:szCs w:val="24"/>
          <w:lang w:eastAsia="bs-Latn-BA"/>
        </w:rPr>
        <w:t xml:space="preserve"> случај осигурања</w:t>
      </w:r>
      <w:r w:rsidRPr="00250DAD">
        <w:rPr>
          <w:rFonts w:eastAsia="Times New Roman" w:cstheme="minorHAnsi"/>
          <w:sz w:val="24"/>
          <w:szCs w:val="24"/>
          <w:lang w:eastAsia="bs-Latn-BA"/>
        </w:rPr>
        <w:t xml:space="preserve"> је случај који захтијева исплату осигурања депозита у складу с одредбама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ј)</w:t>
      </w:r>
      <w:r w:rsidRPr="00250DAD">
        <w:rPr>
          <w:rFonts w:eastAsia="Times New Roman" w:cstheme="minorHAnsi"/>
          <w:b/>
          <w:bCs/>
          <w:sz w:val="24"/>
          <w:szCs w:val="24"/>
          <w:lang w:eastAsia="bs-Latn-BA"/>
        </w:rPr>
        <w:t xml:space="preserve"> осигурани депозит</w:t>
      </w:r>
      <w:r w:rsidRPr="00250DAD">
        <w:rPr>
          <w:rFonts w:eastAsia="Times New Roman" w:cstheme="minorHAnsi"/>
          <w:sz w:val="24"/>
          <w:szCs w:val="24"/>
          <w:lang w:eastAsia="bs-Latn-BA"/>
        </w:rPr>
        <w:t xml:space="preserve"> је дио прикладног депозита утврђен одлуком Управног одбора Агенције који је покривен осигурањем путем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к)</w:t>
      </w:r>
      <w:r w:rsidRPr="00250DAD">
        <w:rPr>
          <w:rFonts w:eastAsia="Times New Roman" w:cstheme="minorHAnsi"/>
          <w:b/>
          <w:bCs/>
          <w:sz w:val="24"/>
          <w:szCs w:val="24"/>
          <w:lang w:eastAsia="bs-Latn-BA"/>
        </w:rPr>
        <w:t xml:space="preserve"> правно лице</w:t>
      </w:r>
      <w:r w:rsidRPr="00250DAD">
        <w:rPr>
          <w:rFonts w:eastAsia="Times New Roman" w:cstheme="minorHAnsi"/>
          <w:sz w:val="24"/>
          <w:szCs w:val="24"/>
          <w:lang w:eastAsia="bs-Latn-BA"/>
        </w:rPr>
        <w:t xml:space="preserve"> је свака компанија, предузеће, удружење, установа или фондација регистрована у БиХ, изузимајући владине органе;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л)</w:t>
      </w:r>
      <w:r w:rsidRPr="00250DAD">
        <w:rPr>
          <w:rFonts w:eastAsia="Times New Roman" w:cstheme="minorHAnsi"/>
          <w:b/>
          <w:bCs/>
          <w:sz w:val="24"/>
          <w:szCs w:val="24"/>
          <w:lang w:eastAsia="bs-Latn-BA"/>
        </w:rPr>
        <w:t xml:space="preserve"> физичко лице</w:t>
      </w:r>
      <w:r w:rsidRPr="00250DAD">
        <w:rPr>
          <w:rFonts w:eastAsia="Times New Roman" w:cstheme="minorHAnsi"/>
          <w:sz w:val="24"/>
          <w:szCs w:val="24"/>
          <w:lang w:eastAsia="bs-Latn-BA"/>
        </w:rPr>
        <w:t xml:space="preserve"> је сваки појединац, без обзира на држављанство или националност;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м)</w:t>
      </w:r>
      <w:r w:rsidRPr="00250DAD">
        <w:rPr>
          <w:rFonts w:eastAsia="Times New Roman" w:cstheme="minorHAnsi"/>
          <w:b/>
          <w:bCs/>
          <w:sz w:val="24"/>
          <w:szCs w:val="24"/>
          <w:lang w:eastAsia="bs-Latn-BA"/>
        </w:rPr>
        <w:t xml:space="preserve"> банка</w:t>
      </w:r>
      <w:r w:rsidRPr="00250DAD">
        <w:rPr>
          <w:rFonts w:eastAsia="Times New Roman" w:cstheme="minorHAnsi"/>
          <w:sz w:val="24"/>
          <w:szCs w:val="24"/>
          <w:lang w:eastAsia="bs-Latn-BA"/>
        </w:rPr>
        <w:t xml:space="preserve"> је акционарско/дионичарско друштво које има дозволу за рад надлежне агенције за банкарство и чија је дјелатност примање депозита и средстава с обавезом враћања и давање кредита за властити рачун, а може обављати и друге послове у складу с ентитетским законима о банкама;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н)</w:t>
      </w:r>
      <w:r w:rsidRPr="00250DAD">
        <w:rPr>
          <w:rFonts w:eastAsia="Times New Roman" w:cstheme="minorHAnsi"/>
          <w:b/>
          <w:bCs/>
          <w:sz w:val="24"/>
          <w:szCs w:val="24"/>
          <w:lang w:eastAsia="bs-Latn-BA"/>
        </w:rPr>
        <w:t xml:space="preserve"> банка чланица</w:t>
      </w:r>
      <w:r w:rsidRPr="00250DAD">
        <w:rPr>
          <w:rFonts w:eastAsia="Times New Roman" w:cstheme="minorHAnsi"/>
          <w:sz w:val="24"/>
          <w:szCs w:val="24"/>
          <w:lang w:eastAsia="bs-Latn-BA"/>
        </w:rPr>
        <w:t xml:space="preserve"> је банка која учествује у програму осигурања депозита Босне и Херцеговине у складу с одредбама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о)</w:t>
      </w:r>
      <w:r w:rsidRPr="00250DAD">
        <w:rPr>
          <w:rFonts w:eastAsia="Times New Roman" w:cstheme="minorHAnsi"/>
          <w:b/>
          <w:bCs/>
          <w:sz w:val="24"/>
          <w:szCs w:val="24"/>
          <w:lang w:eastAsia="bs-Latn-BA"/>
        </w:rPr>
        <w:t xml:space="preserve"> држава</w:t>
      </w:r>
      <w:r w:rsidRPr="00250DAD">
        <w:rPr>
          <w:rFonts w:eastAsia="Times New Roman" w:cstheme="minorHAnsi"/>
          <w:sz w:val="24"/>
          <w:szCs w:val="24"/>
          <w:lang w:eastAsia="bs-Latn-BA"/>
        </w:rPr>
        <w:t xml:space="preserve"> је Босна и Херцеговина.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(Употреба мушког или женског рода)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Сви изрази који су ради прегледности дати у једном граматичком роду односе се, без дискриминације, и на мушки и на женски род.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ГЛАВА II - ОСИГУРАЊЕ ДЕПОЗИТА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4.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(Осигурање депозита)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Агенција осигурава све прикладне депозите у банкама чланицама у Босни и Херцеговини.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Приликом случаја осигурања, Агенција се обавезује на накнаду осигураних </w:t>
      </w:r>
      <w:r w:rsidRPr="00250DAD">
        <w:rPr>
          <w:rFonts w:eastAsia="Times New Roman" w:cstheme="minorHAnsi"/>
          <w:sz w:val="24"/>
          <w:szCs w:val="24"/>
          <w:lang w:eastAsia="bs-Latn-BA"/>
        </w:rPr>
        <w:lastRenderedPageBreak/>
        <w:t xml:space="preserve">депозита дијела прикладних депозита депонентима, у складу с ограничењем из члана 5. и искљученим депозитима из члана 6. овог закона.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5.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(Ограничење осигураног депозита)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Највећи износ осигураног депозита заједно с обрачунатом каматом, који исплаћује Агенција по депоненту по банци чланици, износи прикладни депозит умањен за законски или уговорни дуг депонента према банци чланици највише до износа утврђеног одлуком Управног одбора Агенције или који је мањи.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Агенције, на приједлог директора Агенције, доноси одлуку о измјени висине износа осигураног депозита и објављује је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Одлука Управног одбора Агенције о висини износа осигураног депозита је саставни дио уговора о осигурању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За сврхе исплате, сва средства депонента у страној валути прерачунавају се у конвертибилну марку (у даљем тексту: КМ) на основу просјечног девизног курса Централне банке Босне и Херцеговине (у даљем тексту: Централна банка) на дан случаја осигурања.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Обрачуната камата на прикладне депозите обрачунава се само до дана случаја осигурања.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Ако је депонент власник заједничког рачуна, удио сваког депонента у заједничком рачуну обрачунава се једнако између власника рачуна, осим ако сви власници рачуна доставе доказ о супротном. Укупна исплата по заједничком рачуну ограничена је на износ дефинисан овим законом по једном депоненту по банци чланици.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Након обавјештења о извршеној статусној промјени, депоненти имају на располагању рок од три мјесеца да, без плаћања пенала, повуку или пренесу на другу банку чланицу своје прикладне депозите, укључујући сву приписану камату и накнаде ако они у тренутку операције прелазе ниво покрића.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6.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(Искључени депозити)</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Прикладни депозити не укључују сљедећа средства: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а) депозити за које је одлуком суда утврђено да су стечени противзаконитим радњама и који нису предмет даље жалбе;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депозити који се држе на рачунима чији назив није транспарентан у смислу власништва или неноминовани депозити;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депозити који се чувају у сефовима банака;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д) депозити који се чувају у аранжману похрањивања са банком, осим намјенских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депозити других домаћих или страних банака које држе у своје име и за свој рачун;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ф) депозити домаћих или страних владиних органа;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г) депозити домаћих и страних осигуравајућих друштава;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х) депозити домаћих и страних органа за колективна улагања;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и) депозити домаћих и страних пензионих фондова који се не сматрају владиним органима;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ј) депозити лица у посебном односу са банком како је дефинисано ентитетским законима о банкама: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к) депозити компанија исте групе као и банка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л) депозити које је депонент стекао од исте банке чланице према стопама или другим финансијским уступцима који су могли допринијети угрожавању финансијског стања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м) депозити предузећа која могу бити искључена из покрића осигурања неким посебним законом или владиним упутством;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н) дужничке хартије од вриједности које је издала банка чланица и све друге обавезе банке чланице које произлазе из таквих акцептних налога и мјеница;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о) депозити микрокредитних организација.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7.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(Учешће у чланству)</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Све банке које су добиле дозволу за рад од надлежне агенције за банкарство су обавезно чланице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Банка доставља Агенцији примјерак посљедњег ревидираног финансијског извјештаја од екстерне ревизије, обављене у складу са међународним рачуноводственим стандардима или почетни биланс стања за новоосноване банке.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8.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(Праћење квалитета пословања банака)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За потребе сопствене информисаности и припреме за извршавање обавеза из своје надлежности Агенција ће континуирано пратити пословање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t xml:space="preserve">(2) Начин праћења банака чланица у складу је са подзаконским актом који својом одлуком доноси Управни одбор Агенције а који се заснива на стандардима квалитета дефинисаним ентитетским законима о банкама и минималним захтјевима о управљању ризицима у банкама прописаним од надлежних агенција за банкарство.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9.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(Обавезе банака)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Банке су обавезне да у прописаним роковима Агенцији достављају: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извјештаје које пропишу надлежне агенције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извјештаје екстерне ревизије 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извјештаје које пропише Агенција.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Агенција прописује начин вођења евиденција депозита у банкама чланицама ради извјештавања о подацима релевентним за Агенцију, што се регулише уговором о чланству.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С циљем провјере тачности извјештавања према Агенцији, а у складу с уговором о осигурању депозита, Агенција прати извршавање обавеза извјештавања банака по уговору.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Банка чланица дужна је да у сваком тренутку Агенцији учини доступним податке о депонентима и њиховим депозитима, у форми и на начин како то Агенција захтијева.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10.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(Уговор и цертификат о чланству)</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Свака банка чланица потписује уговор о чланству с Агенцијом, припремљен у тренутку приступа програму осигурања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Уговор о чланству исти је за сваку банку чланицу и садржи прецизирана права и обавезе Агенције и банке чланице и одговарајуће процедуре објављивања које Агенција мора поштовати приликом исплате осигурања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Нова банка постаје чланица програма осигурања депозита под условом да уплати једнократну накнаду за цертификат о чланству, који издаје Агенција. Чланство се остварује по завршетку обје активности.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Управни одбор Агенције, на приједлог директора Агенције, одлуком одређује висину накнаде за цертификат о чланству која се објављује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Износ накнаде за цертификат о чланству исти је за све банке чланице и користи се за измирење трошкова насталих у текућем односу с банкама чланицама.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11.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(Промотивни материјал)</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Банка чланица дужна је да депонентима и заинтересованим лицима пружи информације о осигурању депозита утврђене овим законом, а посебно информације о висини и начину исплате износа осигураног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Информације из става (1) овог члана морају бити разумљиве и доступне у писаној форми.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Информације из става (1) овог члана банка не може користити у рекламне сврхе, нити на начин који угрожава стабилност банкарског система и повјерење депонената.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Агенција обезбјеђује промотивни материјал, укључујући и знак Агенције, који је свака банка чланица дужна отворено и у сваком тренутку имати изложен.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Банка чланица може и самостално обезбиједити промотивни материјал који доказује њено чланство у осигурању депозита, под условом да је дизајн материјала компатибилан са званичним знаком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Агенција одобрава дизајн, садржај и употребу свог промотивног материјала.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Банке чланице обавјештавају постојеће и потенцијалне депоненте о примјењивим искључењима из заштите програма осигурања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Прије склапања уговора о примању депозита, депонентима се пружају опште информације које обезбјеђује Агенција. Депоненти потврђују пријем таквих информација.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(9) Потврда о прикладности депозита доставља се депонентима на њиховим изводима рачуна, уз упућивање на информативни образац, на којем се наводи интернетска адреса Агенције. Информативни образац доставља се депоненту најмање једном годишње.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(10) Интернетска страница Агенције садржи информације потребне депонентима, а посебно информације у вези са поступком и условима осигурања депозита.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12.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(Премија осигурања)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Након изузећа члана 6. тачке м) овог закона и искључења средстава дефинисаних у члану 6. од тачке а) до тачке л) и тач. н) и о) овог закона, просјечни прикладни депозити на крају сваког мјесеца увећани за обрачунату камату користе се као основица премије осигурања банке чланице која учествује у осигурању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Премија осигурања уплаћује се тромјесечно унапријед до првог дана сваког тромјесечја, на основу просјечног стања прикладних депозита у претходном тромјесечју. Тромјесечја почињу првог дана јануара, априла, јула и октобра.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(3) Агенција свакој банци чланици доставља фактуру за уплату премије осигурања депозита најкасније десет дана прије истека рока за плаћање премије.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Уговором о чланству дефинишу се процедуре за обрачун премије коју плаћа банка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Управни одбор Агенције, на приједлог директора Агенције а најмање једном годишње, утврђује висину стопе премије осигурања за све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На почетку четвртог календарског тромјесечја Агенција објављује важећу стопу премије осигурања и стопу која ће се примјењивати у наредној календарској години. Агенција задржава право измјене стопе увијек у складу са потребама Агенције, с тим да нова стопа премије осигурања ступа на снагу у наредном календарском тромјесечју од тренутка обавјештавања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Одлука о висини стопе премије објављује се у "Службеном гласнику БиХ" прије него што измијењена стопа премије осигурања ступи на снагу.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Одлука Управног одбора Агенције о висини стопе премије осигурања саставни је дио уговора о осигурању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(9) Управни одбор Агенције може успоставити систем рангирања ради утврђивања висине стопе премије осигурања за појединачне банке чланице произашле из тог рангирања. Изузетно, Управни одбор Агенције у исту сврху прихвата систем рангирања релевантне агенције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(10) У случају да средства Фонда нису довољна за исплату осигураних депозита приликом наступања случаја осигурања, додатна средства обезбјеђују се наплатом ванредне премије осигурања.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(11) У случају да је Агенција дала допринос за финансирање реструктурирања и претрпјела веће губитке од губитака које би имала у поступку ликвидације или стечаја, Агенцији ће се надокнадити износ губитка који је настао у поступку реструктурирања банке чланице наплатом ванредне премије осигурања у Фонд.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(12) Одлуку о наплати ванредне премије осигурања, њеној висини и модалитетима наплате доноси Управни одбор Агенције и објављује се у "Службеном гласнику БиХ".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13.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(Фонд за осигурање депозита)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Агенција отвара рачун Фонда у Централној банци на који депонује премије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Средства премије осигурања из члана 12. овог закона користе се искључиво за повећање капитала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(3) Фонд може прихватити и средства прибављена путем донација одобрена од Управног одбора Агенције. Средства Фонда чине и средства остварена наплатом по основу суброгације из ликвидационе и стечајне масе банке и трошкова поступка у вези са исплатом осигураних депозита и трошкова поступка у вези са реструктурирањем банака.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Средства Фонда не могу бити предмет извршења, изузев по основу обавезе Агенције на исплату осигураног депозита и учешћа у поступку реструктурирања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Агенција инвестира капитал Фонда у складу са политиком инвестирања коју доноси Управни одбор Агенције,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Агенција инвестира капитал Фонда у хартије од вриједности сa фиксним приходом, издате или гарантоване од земаља Европске уније, владиних агенција земаља Европске уније и европске наднационалне агенције и у хартије од вриједности са фиксним приходом издате или гарантоване од владе или владиних агенција Сједињених Америчких Држава.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Агенција може улагати капитал Фонда у хартије од вриједности са фиксним приходом или друге инструменте дуга које су издале компаније Европске уније или компаније са сједиштем у Сједињеним Америчким Државама с највишом оцјеном. Минимална оцјена квалитета ових компанија је "А" или "П1" или боља или еквивалент у складу с оцјенама међународно признате агенције за оцјену обвезница.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Све инвестиције Фонда, у складу са политиком инвестирања, предузимају се уз заштиту његовог капитала и задржавања ликвидности.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14.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(Престанак чланства уз исплату осигурања)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Престанак чланства у програму осигурања депозита, осим у случајевима из члана 17. овог закона, резултат је мјере агенције за банкарство према банци чланици.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Након званичног обавјештења о губитку дозволе банке чланице, директор Агенције дужан је да о томе обавијести Управни одбор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Накнадни губитак чланства у програму осигурања депозита, из разлога дефинисаних овим чланом, потврђује се одлуком Управног одбора Агенције,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Агенција објављује одлуку у "Службеном гласнику БиХ" и о томе обавјештава ФБА или РСАБ.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Када банка чланица добије обавјештење из става (2) овог члана, о томе одмах обавјештава све постојеће депоненте, званично и у писаној форми.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(6) У случају исплате осигурања депозита, права депонената ограничена на износ исплате осигурања законски се преносе на Агенцију, на </w:t>
      </w:r>
      <w:r w:rsidRPr="00250DAD">
        <w:rPr>
          <w:rFonts w:eastAsia="Times New Roman" w:cstheme="minorHAnsi"/>
          <w:i/>
          <w:iCs/>
          <w:sz w:val="24"/>
          <w:szCs w:val="24"/>
          <w:lang w:eastAsia="bs-Latn-BA"/>
        </w:rPr>
        <w:t>cessio legis</w:t>
      </w:r>
      <w:r w:rsidRPr="00250DAD">
        <w:rPr>
          <w:rFonts w:eastAsia="Times New Roman" w:cstheme="minorHAnsi"/>
          <w:sz w:val="24"/>
          <w:szCs w:val="24"/>
          <w:lang w:eastAsia="bs-Latn-BA"/>
        </w:rPr>
        <w:t xml:space="preserve"> начин.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15.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(Губитак дозволе за рад банке чланице као мјера Агенције за банкарство)</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Исплата осигурања депозита ограничава се на ситуацију у случају губитка дозволе за рад банке чланице, као мјере Агенције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 складу с одредбама чл. 5, 6. и 14. овог закона, Агенција је дужна дa депонентима стави на располагање осигуране износе прикладних депозита без неоправданог кашњења, најкасније у року од 20 радних дана од дана одузимања дозволе за рад банци чланици.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Агенција има право да врши привремене исплате у ситуацијама када може постојати продужено кашњење процеса исплате.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16.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(Обавезе депонената)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 случају из чл. 14. и 15. овог закона, депоненти уз захтјев за исплату достављају доказ законског власништва над депозитом за који се потражује накнада.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Захтјеви за исплату потраживања депонената застаријевају у року од пет година од дана губитка дозволе за рад банке чланице, без обзира на разлог исплате осигурања у банци чланици.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Агенција исплаћује и депоненте који су право на исплату стекли на основу правоснажне судске пресуде.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17.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(Суспензија или престанак чланства без исплате осигурања)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До престанка чланства у програму осигурања депозита без исплате осигурања, који нису у вези са разлозима из члана 14. овог закона, долази у складу с одлуком Управног одбора Агенције о суспензији,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Агенција обавјештава ФБА и РСАБ о одлуци из става (1) овог члана.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Одлука Агенције је коначна и обавезујућа. Одлука се може оспоравати у поступку пред Судом Босне и Херцеговине.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Одлука се објављује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По пријему одлуке из става (1) овог члана, банка чланица издаје обавјештење конвенционалним методама публикација и извјештавања да будући депозити неће бити осигурани.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18.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(Обавјештавање депонената)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 року од 10 дана прије ступања на снагу одлуке из члана 17. овог закона, Агенција издаје обавјештење о околностима и разлозима за доношење одлуке о суспензији чланства без исплате осигурања, конвенционалним методама публикације и извјештавања. Обавјештење се објављује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Постојећи, уплаћени депозити су осигурани до истека рока од три мјесеца или до доспијећа од дана суспензије или престанка осигурања депозита, о чему Агенција обавјештава депоненте.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19.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(Суспензија осигурања депозита без исплате осигурања)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Суспензија осигурања депозита ограничава се на ситуације када банка чланица не плати накнаду за чланство или не плати премију осигурања за једно тромјесечје.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Депозити физичких лица примљени прије дана суспензије осигурања депозита, у складу с овим чланом, остају осигурани на сљедећи начин: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90 дана након суспензије осигурања депозита, или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до дана доспијећа појединог депозита, у зависности од тога који је рок дужи.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Депозити из става (2) овог члана осигурани су на истом нивоу од дана када је банка чланица обавијештена о суспензији њеног осигурања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Нови депозити или додатна средства која су додата постојећим прикладним депозитима који су примљени послије дана када је банка чланица обавијештена о суспензији осигурања неће бити осигурани.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Од банке чланице захтијева се да послије дана суспензије депозита настави извјештавати и плаћати премије Агенцији док год постоји осигурање депозита због доспијећа депозита, а износ премије засниваће се само на оним депозитима који су осигурани.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Банка чланица враћа Агенцији свој оригинални цертификат о чланству у року од пет радних дана од дана када је примила обавјештење о суспензији својих депозита, те у истом року уклања из свих својих просторија све ознаке Агенције, као и промотивни материјал. Ако банка чланица поново успостави своје учешће у осигурању депозита прије укидања свог чланства у осигурању депозита, оригинални цертификат о чланству биће враћен поново примљеној банци чланици без потписивања новог уговора о чланству или процјене нове накнаде за цертификат. </w:t>
      </w:r>
    </w:p>
    <w:p w:rsidR="00250DAD" w:rsidRDefault="00250DAD">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20.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(Укидање осигурања депозита без исплате осигурања)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Укидање осигурања депозита ограничава се на ситуације када банка чланица не плати премије осигурања више од једног узастопног тромјесечја.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Депозити примљени прије дана укидања осигурања депозита у складу с овим чланом осигурани су према одредбама и ограничењима члана 19.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Ако банка чланица врати своје чланство у осигурању депозита послије укидања свог учешћа у осигурању депозита, оригинални цертификат о чланству неће бити враћен поново примљеној банци чланици, већ се издаје нови цертификат о чланству и процјењује накнада за цертификат о чланству.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21.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(Услови за коришћење средстава Фонда у процесу реструктурирања банака чланица)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Када надлежна агенција за банкарство предузме мјере реструктурирања банке чланице, под условом да такве мјере осигуравају да депоненти и даље имају приступ својим депозитима, Агенција ће обезбиједити средства за финансирање процеса реструктурирања у складу с овим законом, и то: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а) када се врши унутрашње реструктурирање банке чланице сопственим средствима, за износ који би претрпјели осигурани депоненти у случају да су њихови осигурани депозити били укључени у расподјелу губитка и били отписани до једнаког износа као и повјериоци и истим редослиједом приоритета, у складу са законима којим се уређује рад банака;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када се примјењује други инструмент реструктурирања, у износу губитака које би претрпјели депоненти по основу осигураних депозита да су учествовали са другим повјериоцима истог исплатног реда у покрићу тих губитака, у складу са законом којим се уређује рад банака.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Агенција није обавезна да пружи допринос у докапитализацији банке чланице у поступку реструктурирања, банке за посебне намјене или друштва за управљање имовином, али може дати допринос у ресорпцији губитка.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(3) Износ средстава Фонда који се користи за финансирање реструктурирања банке чланице не може прећи износ који би био исплаћен из средстава Фонда у случају да је, умјесто реструктурирања банке чланице, над банком чланицом покренут поступак ликвидације или стечаја како је утврђено независном процјеном, у складу с ентитетским законима о банкама</w:t>
      </w:r>
      <w:r w:rsidRPr="00250DAD">
        <w:rPr>
          <w:rFonts w:eastAsia="Times New Roman" w:cstheme="minorHAnsi"/>
          <w:b/>
          <w:bCs/>
          <w:sz w:val="24"/>
          <w:szCs w:val="24"/>
          <w:lang w:eastAsia="bs-Latn-BA"/>
        </w:rPr>
        <w:t>.</w:t>
      </w:r>
      <w:r w:rsidRPr="00250DAD">
        <w:rPr>
          <w:rFonts w:eastAsia="Times New Roman" w:cstheme="minorHAnsi"/>
          <w:sz w:val="24"/>
          <w:szCs w:val="24"/>
          <w:lang w:eastAsia="bs-Latn-BA"/>
        </w:rPr>
        <w:t xml:space="preserve">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Учешће средстава Фонда у реструктурирању банке чланице не може прећи губитке које би Фонд претрпио да је над банком чланицом покренут поступак стечаја или ликвидације, при чему губитак представља разлику између исплаћеног износа и износа хипотетичке наплате.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t xml:space="preserve">(5) Фонд се укључује у процес финансирања реструктурирања банака чланица само у случају када укупни допринос Фонда финансирању реструктурирања банке чланице не прелази 50% циљаног износа Фонда. Управни одбор Агенције одлуком потврђује коришћење средстава Фонда у процесу реструктурирања.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Када се осигурани депозити банке чланице, у процесу реструктурирања банке, пребацују на треће правно лице на основу инструмента продаје пословања или инструмента преноса на банку за посебне намјене, депоненти не остварују право потраживања од Агенције у погледу било којег дијела свог депозита у банци чланици која је у процесу реструктурирања а који нису пренесени, под условом да је износ пренесених депозита једнак или већи од укупног осигураног износа одређеног одлуком Управног одбора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Банка чланица која је реструктурирана или је учествовала у процесу реструктурирања мора бити способна да обезбиједи континуитет својих основних функција и кључних пословних активности.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Ако Агенција у поступку реструктурирања банке чланице претрпи губитке веће од губитака које би претрпјела у ликвидационом или стечајном поступку, што се утврђује независном процјеном у складу с ентитетским законима о банкама, остварује право на накнаду разлике до висине губитка који би претрпјела у ликвидационом или стечајном поступку из средстава ванредне премије осигурања.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ГЛАВА III - АГЕНЦИЈА ЗА ОСИГУРАЊЕ ДЕПОЗИТА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22.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(Оснивање)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Овим законом оснива се Агенција за осигурање депозита Босне и Херцеговине.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Агенција има сједиште у Бањалуци и филијале у Сарајеву и Бањалуци. Агенција може отворити и додатне јединице ако су фискално одрживе од дана отварања. Агенција може своје функције на нивоу Агенције додијелити између локација филијала.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Филијале или друге организационе јединице немају правни статус нити овлашћења независно од Агенције. Свака додатна организациона јединица Агенције оснива се одлуком Управног одбора Агенције. Управни одбор Агенције именује директоре свих организационих јединица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Агенција је самостално, непрофитно правно лице с овлашћењем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Агенција има овлашћење за склапање уговора, набавку и располагање покретном и непокретном имовином и да буде страна у правном процесу.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t xml:space="preserve">(6) Агенција има печат у складу са Законом о печату институција Босне и Херцеговине ("Службени гласник БиХ", бр. 12/98, 14/03 и 62/11). Филијале имају печат, који додатно садрже назив и сједиште филијале.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23.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(Обавезе и овлашћења)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Задаци Агенције су: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осигурање прикладних депозита физичких и правних лица у банкама чланицама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издавање цертификата о чланству банкама;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одузимање, путем суспензије или окончања, цертификата о чланству;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д) инвестирање средстава која чине Фонд у складу с ограничењима политике инвестирања Агенције и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исплата осигурања депозита у случају престанка рада банке чланице,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ф) доношење подзаконских аката којима се регулише осигурање депозита и пословање Агенције,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г) учешће у процесу реструктурирања банака.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 случају да се Агенција и банка чланица не могу усагласити у вези са тачношћу извјештаја потребних у складу с овим законом или одлуком Управног одбора Агенције, Агенција има право да захтијева ревизију пословања банке чланице и ангажује независног ревизора ради оцјене тачности извјештаја које је банка чланица доставила Агенцији. Трошкове ове ревизије сноси страна чије се тумачење, оцјеном ревизије, утврди као погрешно.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Када Агенција утврди да банка чланица не испуњава обавезу плаћања премије осигурања Агенцији или не испуњава друге финансијске обавезе према Агенцији, Агенција има право 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званично обавијести ФБА или РСАБ да Агенција планира да предузме мјере у вези с активношћу банке чланице или стања које може утицати на чланство те банке у Фонду;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поднесе тужбу надлежном суду;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уведе процес суспензије или окончања.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Агенција има право да провјери све или поједине прикладне депозите у својим банкама чланицама и тражи податке о прикладним депозитима писаним путем. Банка </w:t>
      </w:r>
      <w:r w:rsidRPr="00250DAD">
        <w:rPr>
          <w:rFonts w:eastAsia="Times New Roman" w:cstheme="minorHAnsi"/>
          <w:sz w:val="24"/>
          <w:szCs w:val="24"/>
          <w:lang w:eastAsia="bs-Latn-BA"/>
        </w:rPr>
        <w:lastRenderedPageBreak/>
        <w:t xml:space="preserve">чланица дужна је да потврди пријем захтјева у року од два радна дана од дана пријема захтјева и поступи по захтјеву за информацијама о депозитима у року десет радних дана од дана пријема захтјева.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24.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(Самосталност и имунитет)</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Агенција самостално руководи пословањем,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Од дана оснивања Агенције, директор Агенције, директори филијала и њихово особље, као и друга лица препоручена или именована од Агенције за обављање одређених радњи у оквиру овог закона, не могу се гонити у кривичном или грађанскоправном поступку због било којих радњи које су извршили у доброј намјери и у складу с овим законом током извршења или спровођења задатака у оквиру својих овлашћења.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Агенција сноси или надокнађује трошкове за садашње и бивше запосленике, без обзира на положај, за све правне спорове инициране против запосленог, из било ког извора, за радње предузете у доброј намјери приликом извршења или извршења задатака у оквиру овлашћења прописаних овим законом или других делегираних овлашћења ако те трошкове не може наплатити страна која је поднијела тужбу против Агенције или њеног особља.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25.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(Статут Агенције)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Статутом Агенције уређују се: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организација и начин пословања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надлежност и начин рада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овлашћења за сва заступања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д) права, обавезе и одговорности лица која обављају послове и задатке са посебним овлашћењима и одговорностима; 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друга организациона питања у вези са пословањем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обавезно разматра Статут Агенције најмање једном годишње, ради евентуалног усклађивања с измјеном прописа који директно или индиректно утичу на овај закон. </w:t>
      </w:r>
    </w:p>
    <w:p w:rsidR="00250DAD" w:rsidRDefault="00250DAD">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26.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(Састав Управног одбора)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Агенцијом управља Управни одбор.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чини пет чланова. Састав и избор чланова Управног одбора прописан је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Гувернер Централне банке и министар финансија и трезора Босне и Херцеговине или лица која они овласте </w:t>
      </w:r>
      <w:r w:rsidRPr="00250DAD">
        <w:rPr>
          <w:rFonts w:eastAsia="Times New Roman" w:cstheme="minorHAnsi"/>
          <w:i/>
          <w:iCs/>
          <w:sz w:val="24"/>
          <w:szCs w:val="24"/>
          <w:lang w:eastAsia="bs-Latn-BA"/>
        </w:rPr>
        <w:t>ex officio</w:t>
      </w:r>
      <w:r w:rsidRPr="00250DAD">
        <w:rPr>
          <w:rFonts w:eastAsia="Times New Roman" w:cstheme="minorHAnsi"/>
          <w:sz w:val="24"/>
          <w:szCs w:val="24"/>
          <w:lang w:eastAsia="bs-Latn-BA"/>
        </w:rPr>
        <w:t xml:space="preserve"> су чланови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Управни одбор Централне банке може именовати једног члана Управног одбора, а министар финансија Федерације Босне и Херцеговине и министар финансија Републике Српске именују по једног члана Управног одбора, у складу с ограничењима релевантних ентитетских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Чланови Управног одбора који нису </w:t>
      </w:r>
      <w:r w:rsidRPr="00250DAD">
        <w:rPr>
          <w:rFonts w:eastAsia="Times New Roman" w:cstheme="minorHAnsi"/>
          <w:i/>
          <w:iCs/>
          <w:sz w:val="24"/>
          <w:szCs w:val="24"/>
          <w:lang w:eastAsia="bs-Latn-BA"/>
        </w:rPr>
        <w:t>ex officio</w:t>
      </w:r>
      <w:r w:rsidRPr="00250DAD">
        <w:rPr>
          <w:rFonts w:eastAsia="Times New Roman" w:cstheme="minorHAnsi"/>
          <w:sz w:val="24"/>
          <w:szCs w:val="24"/>
          <w:lang w:eastAsia="bs-Latn-BA"/>
        </w:rPr>
        <w:t xml:space="preserve"> морају бити лица која су стекла висок углед финансијског и банкарског стручњака и која имају високе моралне особине за вршење повјерених им дужности.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Управни одбор, између својих чланова, бира предсједавајућег и замјеника предсједавајућег.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Појединци који су предложени за чланове Управног одбора морају предочити писмену изјаву као доказ њихове квалификованости и потврду прихватања у случају њиховог именовања.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Мандат чланова Управног одбора је пет година. Мандат се може обновити највише два пута узастопно.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(9) Одредбе о трајању и ограничењима мандата не примјењују се за лица која ту дужност врше </w:t>
      </w:r>
      <w:r w:rsidRPr="00250DAD">
        <w:rPr>
          <w:rFonts w:eastAsia="Times New Roman" w:cstheme="minorHAnsi"/>
          <w:i/>
          <w:iCs/>
          <w:sz w:val="24"/>
          <w:szCs w:val="24"/>
          <w:lang w:eastAsia="bs-Latn-BA"/>
        </w:rPr>
        <w:t>ex officio</w:t>
      </w:r>
      <w:r w:rsidRPr="00250DAD">
        <w:rPr>
          <w:rFonts w:eastAsia="Times New Roman" w:cstheme="minorHAnsi"/>
          <w:sz w:val="24"/>
          <w:szCs w:val="24"/>
          <w:lang w:eastAsia="bs-Latn-BA"/>
        </w:rPr>
        <w:t xml:space="preserve">.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(10) Свако лице, осим оних који су </w:t>
      </w:r>
      <w:r w:rsidRPr="00250DAD">
        <w:rPr>
          <w:rFonts w:eastAsia="Times New Roman" w:cstheme="minorHAnsi"/>
          <w:i/>
          <w:iCs/>
          <w:sz w:val="24"/>
          <w:szCs w:val="24"/>
          <w:lang w:eastAsia="bs-Latn-BA"/>
        </w:rPr>
        <w:t>ex officio</w:t>
      </w:r>
      <w:r w:rsidRPr="00250DAD">
        <w:rPr>
          <w:rFonts w:eastAsia="Times New Roman" w:cstheme="minorHAnsi"/>
          <w:sz w:val="24"/>
          <w:szCs w:val="24"/>
          <w:lang w:eastAsia="bs-Latn-BA"/>
        </w:rPr>
        <w:t xml:space="preserve"> чланови, може бити именовано за члана Управног одбора Агенције само на два узастопна мандата, тако да приликом именовања за сљедећи мандат буду именована најмање два члана из претходног сазива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(11) Члан Управног одбора не може бити у сродству, по правој или побочној линији закључно са трећим степеном сродства, или у браку, међусобно или са директором Агенције или директором организационе јединице.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(12) Члан Управног одбора, за вријеме мандата, не може обављати функцију у извршној власти или бити члан надзорног одбора, управе, запосленик банке чланице или било које друге банке у држави која има дозволу за рад.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(13) Члан Управног одбора или лице које је с њим у сродству по правој или побочној </w:t>
      </w:r>
      <w:r w:rsidRPr="00250DAD">
        <w:rPr>
          <w:rFonts w:eastAsia="Times New Roman" w:cstheme="minorHAnsi"/>
          <w:sz w:val="24"/>
          <w:szCs w:val="24"/>
          <w:lang w:eastAsia="bs-Latn-BA"/>
        </w:rPr>
        <w:lastRenderedPageBreak/>
        <w:t xml:space="preserve">линији, закључно са трећим степеном сродства, или у браку, не може имати, директно или индиректно, више од пет процената капитала банке чланице. О интересима које у банци чланици има члан Управног одбора или лице које је с њим у сродству по правој или побочној линији, закључно са трећим степеном сродства, или у браку, дужан је обавијестити Управни одбор у писаној форми.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(14) Члан Управног одбора дужан је да, у писаној форми, обавијести Агенцију о интересима које има он или лице које је с њим у сродству, по правој или побочној линији закључно са трећим степеном сродства, или у браку, у некој другој банци или комерцијалном предузећу у којем посједују више од пет процената капитала банке или предузећа.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27.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(Смјена, суспензија и отпуштање чланова Управног одбора)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Већина чланова Управног одбора може смијенити члана Управног одбора у вези с радом у Управном одбору. Накнадно именовање појединца на упражњено мјесто врши се у складу с овим законом, везано за овлашћења именовања у чланство за мјесто смијењеног члана.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дужан је да обавијести Савјет министара Босне и Херцеговине о кривичном или незаконитом поступању било којег члана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Члан Управног одбора који се понаша супротно члану 26. ст. (11) до (14) овог закона аутоматски се суспендује са дужности.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Сваки члан Управног одбора одговоран је за обавјештавање Управног одбора о свом статусу из члана 26. ст. (11) до (14)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За вријеме обављања дужности у Управном одбору, чланови Управног одбора не могу бити гоњени у кривичном или грађанскоправном поступку, за активности које су предузели у складу с овим законом и у доброј намјери, у складу са њиховим дужностима као члановима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Члан Управног одбора Агенције, на лични захтјев, може бити разријешен дужности прије истека мандата.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Лице које је именовано за члана Управног одбора умјесто члана који је смијењен, суспендован или разријешен дужности обавља дужност члана Управног одбора до истека мандата свог претходника.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28.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(Сједнице)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Сједнице Управног одбора одржавају се најмање једном у три мјесеца односно једанпут сваког календарског тромјесечја, а по потреби могу се одржавати и чешће на ад хок основи.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t xml:space="preserve">(2) Сједнице Управног одбора одржаваће се наизмјенично, на локацијама организационих јединица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Сједнице Управног одбора сазива предсједавајући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Предсједавајући Управног одбора може сазвати и посебну сједницу, на захтјев директора Агенције или на захтјев два члана Управног одбора, у року од 14 дана од дана пријема захтјева.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Ако предсједавајући Управног одбора не поступи у складу са захтјевом из става (4) овог члана, подносилац захтјева овлашћен је да сазове посебну сједницу.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Писмени позив за сједницу Управног одбора садржи датум, вријеме, мјесто одржавања сједнице и дневни ред и доставља се члановима Управног одбора најкасније седам дана прије дана одржавања сједнице. Материјал за сваку тачку дневног реда прилаже се уз позив на сједницу.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Лица која нису чланови Управног одбора могу присуствовати сједници, уз писмени позив предсједавајућег.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Кворум за одржавање сједнице Управног одбора чини већина укупног броја чланова. Управни одбор доноси одлуке на основу већине гласова укупног броја чланова.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(9) Предсједавајући или члан Управног одбора не гласа о питањима која се односе на њега лично.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(10) Директор Агенције и директор филијале присуствују свим сједницама Управног одбора, без права гласа. Предсједавајући Управног одбора може донијети одлуку да директор Агенције и директор филијале не присуствују сједници Управног одбора. Таква одлука предсједавајућег Управног одбора мора бити образложена Управном одбору, директору Агенције и директору филијале.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(11) Свака агенција донатор или земља донатор, страна или домаћа, може именовати савјетника Управног одбора. Права и обавезе савјетника регулишу се споразумом између Агенције и земље донатора или агенције донатора.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(12) На сједнице Управног одбора позивају се директори агенција за банкарство који сједницама присуствују без права гласа. </w:t>
      </w:r>
    </w:p>
    <w:p w:rsidR="00250DAD" w:rsidRDefault="00250DAD">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29.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(Дужности Управног одбора)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Управни одбор: </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а) именује директора Агенције и директоре филијала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бира предсједавајућег и замјеника предсједавајућег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доноси Статут Агенције и друге опште акте;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д) доноси све прописе, политике, упутства и накнаде за управљање и пословање Агенције и њеног Фонда у складу с овим законом, законима државе или у складу са праксом здравог управљања;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прегледа, годишње, овај закон у вези са Законом о банкама;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ф) утврђује и одобрава стручну квалификованост директора Агенције и директора филијала;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г) доноси подзаконски акт о начину праћења пословања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х) одобрава, на приједлог директора Агенције, учешће банака у чланству и прекиде чланства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и) доноси финансијски план Агенције,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ј) доноси политику инвестирања Фонда,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к) доноси, на приједлог директора Агенције, одлуку о висини стопе премије осигурања и ванредне премије осигурања која се наплаћује од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л) доноси одлуку о измјени износа покрића осигураних прикладних депозита,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м) доноси одлуку о висини накнаде за цертификат о чланству за банке чланице,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н) одобрава плате и бенефиције за све запослене у Агенцији, на приједлог директора Агенције, ако није другачије прописано државним законом или прописом;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о) доноси све потребне прописе и упутства о раду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п) годишње одобрава именовање екстерног ревизора Агенције, а на приједлог директора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р) доноси одлуку о именовању независног ревизора у случају сукоба са банком чланицом у вези са тачношћу извјештаја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с) усваја стратешки план Агенције, план за кризне ситуације и циљани износ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т) доноси одлуку о коришћењу средстава Фонда за потребе реструктурирања банке чланице.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30.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(Извјештавање)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Управни одбор одговоран је за активности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усваја годишњи извјештај о раду и финансијски план за наредну годину у року од три мјесеца по завршетку претходне календарске године, који се објављују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Управни одбор доставља примјерак годишњег извјештаја о раду и финансијског плана Предсједништву Босне и Херцеговине, у форми информације, у року од три мјесеца од завршетка претходне календарске године.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31.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(Именовање директора Агенције и директора филијале)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Управни одбор именује директора Агенције и директора филијале на мандат од пет година. Директора Агенције и директора филијале може поново именовати Управни одбор без ограничења броја именовања, али се процес потврде мора поновити приликом сваког именовања.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 случају да мјесто директора Агенције или директора филијале остане упражњено, Управни одбор именује ново лице на ту дужност у року од 60 дана.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У случају да Управни одбор не именује директора Агенције или директора филијале у року из става (2) овог члана, предсједавајући Управног одбора именује директора Агенције или директора филијале на привременој основи, док Управни одбор не оконча поступак именовања.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Лице које је на привременој основи именовао предсједавајући Управног одбора у складу са ставом (3) овог члана има пуна овлашћења за вршење дужности, у складу с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Директор Агенције и директор филијале, или лице које је с њима у крвном сродству до трећег степена или у браку не могу бити чланови надзорног или управног одбора банке чланице или неке друге банке.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Директор Агенције или директор филијале, или лице које је с њима у крвном сродству до трећег степена или у браку, не могу посједовати директно или индиректно више од пет процената капитала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Директор Агенције и директор филијале дужни су да писмено обавијесте Агенцију о </w:t>
      </w:r>
      <w:r w:rsidRPr="00250DAD">
        <w:rPr>
          <w:rFonts w:eastAsia="Times New Roman" w:cstheme="minorHAnsi"/>
          <w:sz w:val="24"/>
          <w:szCs w:val="24"/>
          <w:lang w:eastAsia="bs-Latn-BA"/>
        </w:rPr>
        <w:lastRenderedPageBreak/>
        <w:t xml:space="preserve">интересима које они сами или неко ко је с њима у крвном сродством до трећег степена или у браку имају у банци чланици или некој другој банци или комерцијалном предузећу у којем посједују удио у капиталу банке или посједују више од пет процената капитала предузећа, или о чланству у надзорном или управном одбору комерцијалног предузећа.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Директор Агенције и директор филијале неће прихватити положај у банци чланици у року од двије године након завршетка запослења у Агенцији, без претходног писменог одобрења Управног одбора Агенције.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32.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(Дужности директора Агенције)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Директор Агенције представља и заступа Агенцију, руководи њеним радом и одговара за пословање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Директор Агенције врши сљедеће дужности: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предлаже Управном одбору учешће банке у чланству или престанак чланства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предлаже Управном одбору све појединачне акте везано за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предлаже Управном одбору сва опште акте, правила, упутства о банкама чланицама;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д) предлаже Управном одбору финансијски план Агенције и политику инвестирања средстава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заступа Агенцију у односима са банкама чланицама и свим другим институцијама;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ф) спроводи све политике и одлуке које је донио Управни одбор;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г) утврђује и одобрава одговарајућу стручну квалификованост особља Агенције испод нивоа директора филијала;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х) одлучује о заснивању и престанку радног односа свих запослених испод нивоа директора организационих јединица уз консултације са директорима филијала, у складу са државним законом или прописом;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и) предлаже Управном одбору Агенције плате и бенефиције за све запослене Агенције, у складу са државним законом или прописом;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ј) најмање једанпут годишње разматра висину стопе премије осигурања која се наплаћује банкама чланицама и даје Управном одбору приједлог у вези с њом;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к) предлаже Управном одбору доношење одлуке о ванредној премији осигурања; </w:t>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br/>
        <w:t xml:space="preserve">л) предлаже Управном одбору Агенције избор спољног ревизора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м) предлаже Управном одбору Агенције избор независног ревизора у случају сукоба са банком чланицом у вези са тачношћу извјештаја, а у смислу овог закона;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н) предлаже Управном одбору измјене износа покрића осигураног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о) предлаже Управном одбору доношење подзаконског акта о начину праћења пословања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п) редовно разматра функционалну одрживост система исплате,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р) предлаже Управном одбору усвајање стратешког плана, плана за кризне ситуације и циљаног износа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с) предлаже Управном одбору доношење одлуке о коришћењу средстава Фонда за потребе реструктурирања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Директор филијале Агенције руководи и организује рад филијале и помаже директору Агенције у обављању његових дужности из става (1) овог члана. У случају службеног одсуства, дужност директора Агенције врши један од директора филијале, када му директор пренесе то овлашћење. Дужности директора Агенције из става (2) овог члана директор Агенције може пренијети на директора филијале као појединачно овлашћење или као овлашћење које он дијели са директором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Директор Агенције преноси овлашћења на директора филијале у писаној форми. Дато овлашћење може се повући у сваком тренутку, уз одговарајуће писано обавјештење. Директор Агенције може пренијети овлашћење само на директора филијале.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Директор Агенције континуирано информише директоре филијала о свим аспектима пословања Агенције, како би директори филијала могли преузети обавезе директора у складу са ставом (4) овог члана.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Директор Агенције и директори филијала учествују у раду Управног одбора, али немају право гласа у Управном одбору.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Директор Агенције и директори филијала одговорни су за свој рад Управном одбору.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Директор Агенције консултује се са директорима филијала, као и са другим одговарајућим особљем Агенције приликом доношења одлука у вези са пословањем Агенције или припреме приједлога Управном одбору. Све одлуке и приједлози представљају коначно овлашћење и одговорност директора Агенције.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33.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(Пословна тајна Агенције)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Члан Управног одбора Агенције, директор Агенције, директор филијале, сви запослени у Агенцији и лица која је ангажовала Агенција у свом пословању, као и друга лица која обављају послове на краткорочној основи обавезни су да као пословну тајну чувају све информације до којих дођу у оквиру свог посла.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Обавеза из става (1) овог члана траје и по престанку радног односа, ангажмана или чланства у Управном одбору или запослења било које врсте у Агенцији.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Агенција може одобрити откривање пословне тајне у кривичном поступку пред надлежним судом за лица из става (1) овог члана.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34.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(Финансирање Агенције)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Оперативни трошкови Агенције финансирају се из прихода од накнада, чланарине и прихода од инвестиција капитала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Одлуку о наплати чланарине, висини и модалитетима наплате доноси Управни одбор. Одлука се објављује у "Службеном гласнику БиХ".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Средства с оперативног рачуна Агенције могу се користити искључиво за оперативне трошкове Агенције, а средства која чине рачун Фонда могу се користити једино за исплату осигурања депозита у случају исплате осигурања и поступка реструктурирања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За финансирање оперативних трошкова Агенције могу се користити средства из донација. За све донације и услове везане за њих, који нису укључени у одобрени финансијски план Агенције, потребно је одобрење Управног одбора.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Годишње, вишак прихода над расходима Агенције добијених из извора из ст. (1) и (3) овог члана распоређује се у Фонд одлуком Управног одбора на приједлог директора Агенције. Вишак прихода над расходима може се користити и за покриће евентуалних губитака који могу настати у раду Агенције.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Све премије које уплаћују банке чланице додају се Фонду.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У случају када коришћење прихода Агенције у складу са ст. (1) и (3) овог члана није довољно за финансирање оперативних трошкова Агенције, Управни одбор, на приједлог директора Агенције, може донијети одлуку о привременој употреби уплата премија осигурања у сврху осигурања потребних средства. Одлука важи за период утврђен одлуком Управног одбора и у том року се привремено употријебљена средства враћају у Фонд, а примјењује се само ако је Агенција исцрпила све практичне начине умањења оперативних трошкова.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У случају када средства Фонда нису довољна за испуњавање обавеза Агенције у </w:t>
      </w:r>
      <w:r w:rsidRPr="00250DAD">
        <w:rPr>
          <w:rFonts w:eastAsia="Times New Roman" w:cstheme="minorHAnsi"/>
          <w:sz w:val="24"/>
          <w:szCs w:val="24"/>
          <w:lang w:eastAsia="bs-Latn-BA"/>
        </w:rPr>
        <w:lastRenderedPageBreak/>
        <w:t xml:space="preserve">вези са исплатом осигураних депозита и доприноса у поступку реструктурирања, а све одредбе овог члана су исцрпљене, Агенција, у оквиру ограничења државног законодавства, може осигурати кредите и гаранције или издати дужничке хартије од вриједности за осигурање потребних средстава. У том случају Управни одбор, на приједлог директора Агенције, може одобрити употребу будућих потраживања премије осигурања као гаранцију и будућих наплата премија осигурања као извор отплате дуга Агенције.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35.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(Сарадња с агенцијама за банкарство)</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Агенција и агенције за банкарство успоставиће на основу узајамности потребну и благовремену сарадњу на редовној основи и размјену информација битних за извршавање својих законом прописаних задатака.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Сарадња и размјена информација из става (1) овог члана детаљније ће бити регулисана споразумом о сарадњи између Агенције и агенција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Aко Агенција добије повјерљиву информацију од надлежне агенције за банкарство, ту информацију ће третирати као пословну тајну Агенције у складу сa чланом 33. овог закона. Информација се може открити само уз претходну сагласност надлежне агенције за банкарство која је доставила ту информацију и искључиво у сврху за коју је надлежна агенција за банкарство дала сагласност.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(4) Агенција се неће сматрати одговорном за активности које предузму агенције за банкарство на основу информација које је доставила Агенција, нити Агенција сматра агенције за банкарство одговорним за одлуку коју је донијела Агенција на основу информација које је примила од агенција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(5) Надлежна агенција за банкарство информисаће Агенцију о планираним мјерама реструктурирања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(6) Ако се у процесу реструктурирања банке чланице морају обезбиједити средства из Фонда, Агенција је дужна да на захтјев ентитетске агенције за банкарство да мишљење о процјени трошкова и могућности исплате осигураних депозита ради утврђивања могућности спровођења поступка ликвидације или стечаја банке, односно о процјени могућег обима финансирања реструктурирања банке средствима Фонда.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(7) Агенција ће надлежној ентитетској агенцији за банкарство доставити мишљење из става (6) овог члана, у року од 24 часа од подношења захтјева ентитетске агенције за банкарство.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(8) На захтјев надлежне агенције за банкарство, Агенција ће доставити потребне информације за обрачун износа хипотетичке ликвидације.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(9) Након што надлежна агенција за банкарство званично обавијести Агенцију о доношењу формалне одлуке о реструктурирању банке чланице и износу који треба да </w:t>
      </w:r>
      <w:r w:rsidRPr="00250DAD">
        <w:rPr>
          <w:rFonts w:eastAsia="Times New Roman" w:cstheme="minorHAnsi"/>
          <w:sz w:val="24"/>
          <w:szCs w:val="24"/>
          <w:lang w:eastAsia="bs-Latn-BA"/>
        </w:rPr>
        <w:lastRenderedPageBreak/>
        <w:t xml:space="preserve">буде обезбијеђен из Фонда, Агенција ће осигурати да у року од 48 часова средства за финансирање реструктурирања банке чланице буду обезбијеђена.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36.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(Сарадња са Централном банком)</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Агенција, на узајамној основи, Централној банци доставља информације до којих је дошла примјењујући овлашћења прописана овим законом.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Агенција се неће сматрати одговорном за радње које Централна банка предузме на основу информација које јој достави Агенција.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(3) Централна банка ће, на узајамној основи, Агенцији достављати извјештаје и информације којима располаже, а који су Агенцији потребни ради праћења пословања банака.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ГЛАВА IV - КАЗНЕНЕ ОДРЕДБЕ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37.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(Прекршаји)</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Новчаном казном од 40.000,00 КМ до 200.000,00 КМ казниће се за прекршај банка чланица ако: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не достави или неблаговремено доставља извјештаје Агенцији;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не уплаћује премије осигурања по доспијећу;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не плаћа накнаду за издати цертификат;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д) не плаћа чланарину;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е) не истакне знак Агенције и промотивни материјал као доказ о чланству у програму осигурања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ф) oдбије да приступи уговору о осигурању депозита;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г) достави Агенцији нетачне информације;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х) ако у рекламне сврхе користи информације о осигурању депозита утврђене у овом закону на начин који угрожава стабилност банкарског система и повјерење депонената.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Новчаном казном у износу од 2.000,00 КМ до 10.000,00 КМ за прекшаје из става (1) овог члана казниће се члан управе банке чланице. </w:t>
      </w: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lastRenderedPageBreak/>
        <w:t xml:space="preserve">(3) Новчаном казном у износу од 2.000,00 до 10.000,00 КМ за прекршаје из става (1) овог члана казниће се члан надзорног одбора банке чланице.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38.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(Прекршајни поступак)</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Прекршајни поступак се покреће и води у складу са прописима којима се уређује прекршајни поступак.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Утврђивање одговорности и изрицање мјера у складу с овим законом не искључује утврђивање одговорности и изрицање мјера утврђених другим законима.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39.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(Престанак рада Агенције)</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(1) У случају да Агенција обустави пословање из разлога који није везан за обавезу исплате осигурања, средства Агенције распоређују се на сљедећи начин: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a) исплаћују се све законске обавезе Агенције, укључујући неисплаћене плате и бенефиције запослених;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б) до расположивог износа, врши се поврат средстава донаторима до висине главнице њихових донација или на основу пропорционалности, ако се не могу вратити главнице свих донираних средстава;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ц) преостала средства враћају се банкама чланицама на основу пропорционалности за уплаћене премије банака чланица. </w:t>
      </w:r>
      <w:r w:rsidRPr="00250DAD">
        <w:rPr>
          <w:rFonts w:eastAsia="Times New Roman" w:cstheme="minorHAnsi"/>
          <w:sz w:val="24"/>
          <w:szCs w:val="24"/>
          <w:lang w:eastAsia="bs-Latn-BA"/>
        </w:rPr>
        <w:br/>
      </w:r>
      <w:r w:rsidRPr="00250DAD">
        <w:rPr>
          <w:rFonts w:eastAsia="Times New Roman" w:cstheme="minorHAnsi"/>
          <w:sz w:val="24"/>
          <w:szCs w:val="24"/>
          <w:lang w:eastAsia="bs-Latn-BA"/>
        </w:rPr>
        <w:br/>
        <w:t xml:space="preserve">(2) Управни одбор може предузети радње реорганизације организационог и пословног аранжмана Агенције, уз измјену овог закона у дијелу или цјелокупно. У том случају Агенција наставља пословање на начин прописан овим законом, а измјене које треба да ступе на снагу због настале промјене у њеном организационом пословању Агенција шаље у законодавну процедуру у Парламентарну скупштину БиХ у року од шест мјесеци од дана када је Управни одбор одобрио организациони и пословни аранжман Агенције. </w:t>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ГЛАВА V - ПРЕЛАЗНЕ И ЗАВРШНЕ ОДРЕДБЕ </w:t>
      </w:r>
      <w:r w:rsidRPr="00250DAD">
        <w:rPr>
          <w:rFonts w:eastAsia="Times New Roman" w:cstheme="minorHAnsi"/>
          <w:sz w:val="24"/>
          <w:szCs w:val="24"/>
          <w:lang w:eastAsia="bs-Latn-BA"/>
        </w:rPr>
        <w:br/>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t xml:space="preserve">Члан 40.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(Престанак важења закона)</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Даном ступања на снагу овог закона престаје да важи Закон о осигурању депозита у банкама Босне и Херцеговине ("Службени гласник БиХ", бр. 20/02, 18/05, 100/08, 75/09 и 58/13). </w:t>
      </w:r>
    </w:p>
    <w:p w:rsidR="00250DAD" w:rsidRDefault="00250DAD">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250DAD" w:rsidRPr="00250DAD" w:rsidRDefault="00250DAD" w:rsidP="00250DAD">
      <w:pPr>
        <w:spacing w:before="100" w:beforeAutospacing="1" w:after="240"/>
        <w:jc w:val="center"/>
        <w:rPr>
          <w:rFonts w:eastAsia="Times New Roman" w:cstheme="minorHAnsi"/>
          <w:sz w:val="24"/>
          <w:szCs w:val="24"/>
          <w:lang w:eastAsia="bs-Latn-BA"/>
        </w:rPr>
      </w:pPr>
      <w:r w:rsidRPr="00250DAD">
        <w:rPr>
          <w:rFonts w:eastAsia="Times New Roman" w:cstheme="minorHAnsi"/>
          <w:b/>
          <w:bCs/>
          <w:sz w:val="24"/>
          <w:szCs w:val="24"/>
          <w:lang w:eastAsia="bs-Latn-BA"/>
        </w:rPr>
        <w:lastRenderedPageBreak/>
        <w:t xml:space="preserve">Члан 41. </w:t>
      </w:r>
      <w:r w:rsidRPr="00250DAD">
        <w:rPr>
          <w:rFonts w:eastAsia="Times New Roman" w:cstheme="minorHAnsi"/>
          <w:sz w:val="24"/>
          <w:szCs w:val="24"/>
          <w:lang w:eastAsia="bs-Latn-BA"/>
        </w:rPr>
        <w:br/>
      </w:r>
      <w:r w:rsidRPr="00250DAD">
        <w:rPr>
          <w:rFonts w:eastAsia="Times New Roman" w:cstheme="minorHAnsi"/>
          <w:b/>
          <w:bCs/>
          <w:sz w:val="24"/>
          <w:szCs w:val="24"/>
          <w:lang w:eastAsia="bs-Latn-BA"/>
        </w:rPr>
        <w:t>(Ступање на снагу)</w:t>
      </w:r>
    </w:p>
    <w:p w:rsidR="00250DAD" w:rsidRPr="00250DAD" w:rsidRDefault="00250DAD" w:rsidP="00250DAD">
      <w:pPr>
        <w:spacing w:after="240"/>
        <w:rPr>
          <w:rFonts w:eastAsia="Times New Roman" w:cstheme="minorHAnsi"/>
          <w:sz w:val="24"/>
          <w:szCs w:val="24"/>
          <w:lang w:eastAsia="bs-Latn-BA"/>
        </w:rPr>
      </w:pPr>
      <w:r w:rsidRPr="00250DAD">
        <w:rPr>
          <w:rFonts w:eastAsia="Times New Roman" w:cstheme="minorHAnsi"/>
          <w:sz w:val="24"/>
          <w:szCs w:val="24"/>
          <w:lang w:eastAsia="bs-Latn-BA"/>
        </w:rPr>
        <w:t xml:space="preserve">Овај закон ступа на снагу осмог дана од дана објављивања у "Службеном гласнику БиХ". </w:t>
      </w:r>
    </w:p>
    <w:p w:rsidR="002508E0" w:rsidRDefault="00250DAD" w:rsidP="00250DAD">
      <w:pPr>
        <w:spacing w:before="100" w:beforeAutospacing="1" w:after="100" w:afterAutospacing="1"/>
        <w:rPr>
          <w:rFonts w:eastAsia="Times New Roman" w:cstheme="minorHAnsi"/>
          <w:sz w:val="24"/>
          <w:szCs w:val="24"/>
          <w:lang w:eastAsia="bs-Latn-BA"/>
        </w:rPr>
      </w:pPr>
      <w:r w:rsidRPr="00250DAD">
        <w:rPr>
          <w:rFonts w:eastAsia="Times New Roman" w:cstheme="minorHAnsi"/>
          <w:sz w:val="24"/>
          <w:szCs w:val="24"/>
          <w:lang w:eastAsia="bs-Latn-BA"/>
        </w:rPr>
        <w:t>Број 01,02-02-1-1027/18</w:t>
      </w:r>
      <w:r w:rsidRPr="00250DAD">
        <w:rPr>
          <w:rFonts w:eastAsia="Times New Roman" w:cstheme="minorHAnsi"/>
          <w:sz w:val="24"/>
          <w:szCs w:val="24"/>
          <w:lang w:eastAsia="bs-Latn-BA"/>
        </w:rPr>
        <w:br/>
        <w:t>14. фебруара 2020. године</w:t>
      </w:r>
      <w:r w:rsidRPr="00250DAD">
        <w:rPr>
          <w:rFonts w:eastAsia="Times New Roman" w:cstheme="minorHAnsi"/>
          <w:sz w:val="24"/>
          <w:szCs w:val="24"/>
          <w:lang w:eastAsia="bs-Latn-BA"/>
        </w:rPr>
        <w:br/>
        <w:t>Сарајево</w:t>
      </w:r>
      <w:r w:rsidRPr="00250DAD">
        <w:rPr>
          <w:rFonts w:eastAsia="Times New Roman" w:cstheme="minorHAnsi"/>
          <w:sz w:val="24"/>
          <w:szCs w:val="24"/>
          <w:lang w:eastAsia="bs-Latn-BA"/>
        </w:rPr>
        <w:br/>
      </w:r>
    </w:p>
    <w:p w:rsidR="00250DAD" w:rsidRPr="00250DAD" w:rsidRDefault="00250DAD" w:rsidP="00250DAD">
      <w:pPr>
        <w:spacing w:before="100" w:beforeAutospacing="1" w:after="100" w:afterAutospacing="1"/>
        <w:rPr>
          <w:rFonts w:eastAsia="Times New Roman" w:cstheme="minorHAnsi"/>
          <w:sz w:val="24"/>
          <w:szCs w:val="24"/>
          <w:lang w:eastAsia="bs-Latn-BA"/>
        </w:rPr>
      </w:pPr>
      <w:r w:rsidRPr="00250DAD">
        <w:rPr>
          <w:rFonts w:eastAsia="Times New Roman" w:cstheme="minorHAnsi"/>
          <w:sz w:val="24"/>
          <w:szCs w:val="24"/>
          <w:lang w:eastAsia="bs-Latn-BA"/>
        </w:rPr>
        <w:t>Предсједавајући</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250DAD">
        <w:rPr>
          <w:rFonts w:eastAsia="Times New Roman" w:cstheme="minorHAnsi"/>
          <w:sz w:val="24"/>
          <w:szCs w:val="24"/>
          <w:lang w:eastAsia="bs-Latn-BA"/>
        </w:rPr>
        <w:t>Предсједавајући</w:t>
      </w:r>
      <w:r w:rsidRPr="00250DAD">
        <w:rPr>
          <w:rFonts w:eastAsia="Times New Roman" w:cstheme="minorHAnsi"/>
          <w:sz w:val="24"/>
          <w:szCs w:val="24"/>
          <w:lang w:eastAsia="bs-Latn-BA"/>
        </w:rPr>
        <w:br/>
        <w:t>Представничког дома</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250DAD">
        <w:rPr>
          <w:rFonts w:eastAsia="Times New Roman" w:cstheme="minorHAnsi"/>
          <w:sz w:val="24"/>
          <w:szCs w:val="24"/>
          <w:lang w:eastAsia="bs-Latn-BA"/>
        </w:rPr>
        <w:t>Дома народа</w:t>
      </w:r>
      <w:r w:rsidRPr="00250DAD">
        <w:rPr>
          <w:rFonts w:eastAsia="Times New Roman" w:cstheme="minorHAnsi"/>
          <w:sz w:val="24"/>
          <w:szCs w:val="24"/>
          <w:lang w:eastAsia="bs-Latn-BA"/>
        </w:rPr>
        <w:br/>
        <w:t>Парламентарне скупштине БиХ</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250DAD">
        <w:rPr>
          <w:rFonts w:eastAsia="Times New Roman" w:cstheme="minorHAnsi"/>
          <w:sz w:val="24"/>
          <w:szCs w:val="24"/>
          <w:lang w:eastAsia="bs-Latn-BA"/>
        </w:rPr>
        <w:t>Парламентарне скупштине БиХ</w:t>
      </w:r>
      <w:r w:rsidRPr="00250DAD">
        <w:rPr>
          <w:rFonts w:eastAsia="Times New Roman" w:cstheme="minorHAnsi"/>
          <w:sz w:val="24"/>
          <w:szCs w:val="24"/>
          <w:lang w:eastAsia="bs-Latn-BA"/>
        </w:rPr>
        <w:br/>
        <w:t xml:space="preserve">Др </w:t>
      </w:r>
      <w:r w:rsidRPr="00250DAD">
        <w:rPr>
          <w:rFonts w:eastAsia="Times New Roman" w:cstheme="minorHAnsi"/>
          <w:b/>
          <w:bCs/>
          <w:sz w:val="24"/>
          <w:szCs w:val="24"/>
          <w:lang w:eastAsia="bs-Latn-BA"/>
        </w:rPr>
        <w:t>Денис Звиздић</w:t>
      </w:r>
      <w:r w:rsidRPr="00250DAD">
        <w:rPr>
          <w:rFonts w:eastAsia="Times New Roman" w:cstheme="minorHAnsi"/>
          <w:sz w:val="24"/>
          <w:szCs w:val="24"/>
          <w:lang w:eastAsia="bs-Latn-BA"/>
        </w:rPr>
        <w:t xml:space="preserve">, с. р. </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250DAD">
        <w:rPr>
          <w:rFonts w:eastAsia="Times New Roman" w:cstheme="minorHAnsi"/>
          <w:sz w:val="24"/>
          <w:szCs w:val="24"/>
          <w:lang w:eastAsia="bs-Latn-BA"/>
        </w:rPr>
        <w:t xml:space="preserve">Др </w:t>
      </w:r>
      <w:r w:rsidRPr="00250DAD">
        <w:rPr>
          <w:rFonts w:eastAsia="Times New Roman" w:cstheme="minorHAnsi"/>
          <w:b/>
          <w:bCs/>
          <w:sz w:val="24"/>
          <w:szCs w:val="24"/>
          <w:lang w:eastAsia="bs-Latn-BA"/>
        </w:rPr>
        <w:t>Драган Човић</w:t>
      </w:r>
      <w:r w:rsidRPr="00250DAD">
        <w:rPr>
          <w:rFonts w:eastAsia="Times New Roman" w:cstheme="minorHAnsi"/>
          <w:sz w:val="24"/>
          <w:szCs w:val="24"/>
          <w:lang w:eastAsia="bs-Latn-BA"/>
        </w:rPr>
        <w:t xml:space="preserve">, с. р. </w:t>
      </w:r>
    </w:p>
    <w:p w:rsidR="00250DAD" w:rsidRPr="00250DAD" w:rsidRDefault="00250DAD" w:rsidP="00250DAD">
      <w:pPr>
        <w:spacing w:before="100" w:beforeAutospacing="1" w:after="100" w:afterAutospacing="1"/>
        <w:rPr>
          <w:rFonts w:eastAsia="Times New Roman" w:cstheme="minorHAnsi"/>
          <w:sz w:val="24"/>
          <w:szCs w:val="24"/>
          <w:lang w:eastAsia="bs-Latn-BA"/>
        </w:rPr>
      </w:pPr>
    </w:p>
    <w:p w:rsidR="00250DAD" w:rsidRPr="00250DAD" w:rsidRDefault="00250DAD" w:rsidP="00250DAD">
      <w:pPr>
        <w:spacing w:before="100" w:beforeAutospacing="1" w:after="100" w:afterAutospacing="1"/>
        <w:rPr>
          <w:rFonts w:eastAsia="Times New Roman" w:cstheme="minorHAnsi"/>
          <w:sz w:val="24"/>
          <w:szCs w:val="24"/>
          <w:lang w:eastAsia="bs-Latn-BA"/>
        </w:rPr>
      </w:pPr>
      <w:r w:rsidRPr="00250DAD">
        <w:rPr>
          <w:rFonts w:eastAsia="Times New Roman" w:cstheme="minorHAnsi"/>
          <w:sz w:val="24"/>
          <w:szCs w:val="24"/>
          <w:lang w:eastAsia="bs-Latn-BA"/>
        </w:rPr>
        <w:br/>
      </w:r>
      <w:r w:rsidRPr="00250DAD">
        <w:rPr>
          <w:rFonts w:eastAsia="Times New Roman" w:cstheme="minorHAnsi"/>
          <w:sz w:val="24"/>
          <w:szCs w:val="24"/>
          <w:lang w:eastAsia="bs-Latn-BA"/>
        </w:rPr>
        <w:br/>
      </w:r>
      <w:r w:rsidRPr="00250DAD">
        <w:rPr>
          <w:rFonts w:eastAsia="Times New Roman" w:cstheme="minorHAnsi"/>
          <w:sz w:val="24"/>
          <w:szCs w:val="24"/>
          <w:lang w:eastAsia="bs-Latn-BA"/>
        </w:rPr>
        <w:br/>
      </w:r>
    </w:p>
    <w:p w:rsidR="00F2641F" w:rsidRPr="00250DAD" w:rsidRDefault="00F2641F">
      <w:pPr>
        <w:rPr>
          <w:rFonts w:cstheme="minorHAnsi"/>
        </w:rPr>
      </w:pPr>
    </w:p>
    <w:sectPr w:rsidR="00F2641F" w:rsidRPr="00250DAD" w:rsidSect="00F26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DAD"/>
    <w:rsid w:val="0000038E"/>
    <w:rsid w:val="00000453"/>
    <w:rsid w:val="00002423"/>
    <w:rsid w:val="00003A42"/>
    <w:rsid w:val="00004E52"/>
    <w:rsid w:val="00005024"/>
    <w:rsid w:val="00005B3E"/>
    <w:rsid w:val="0000694D"/>
    <w:rsid w:val="000076EE"/>
    <w:rsid w:val="0001141B"/>
    <w:rsid w:val="000115C2"/>
    <w:rsid w:val="00011D87"/>
    <w:rsid w:val="00014044"/>
    <w:rsid w:val="00014890"/>
    <w:rsid w:val="0001614E"/>
    <w:rsid w:val="000164A0"/>
    <w:rsid w:val="0002038B"/>
    <w:rsid w:val="000205E2"/>
    <w:rsid w:val="00021AE2"/>
    <w:rsid w:val="00022766"/>
    <w:rsid w:val="00023CA1"/>
    <w:rsid w:val="00023EFE"/>
    <w:rsid w:val="00024255"/>
    <w:rsid w:val="00024BEF"/>
    <w:rsid w:val="00025021"/>
    <w:rsid w:val="0002539B"/>
    <w:rsid w:val="000313A9"/>
    <w:rsid w:val="00031443"/>
    <w:rsid w:val="00031C67"/>
    <w:rsid w:val="000329DB"/>
    <w:rsid w:val="00032DE9"/>
    <w:rsid w:val="00033830"/>
    <w:rsid w:val="0003403D"/>
    <w:rsid w:val="00036863"/>
    <w:rsid w:val="00036936"/>
    <w:rsid w:val="00037CA6"/>
    <w:rsid w:val="00042867"/>
    <w:rsid w:val="0004352B"/>
    <w:rsid w:val="000437F6"/>
    <w:rsid w:val="00044AC4"/>
    <w:rsid w:val="00044C39"/>
    <w:rsid w:val="00046BAF"/>
    <w:rsid w:val="00046ED4"/>
    <w:rsid w:val="00047A70"/>
    <w:rsid w:val="00047BED"/>
    <w:rsid w:val="00051260"/>
    <w:rsid w:val="00053BED"/>
    <w:rsid w:val="0005501B"/>
    <w:rsid w:val="00056281"/>
    <w:rsid w:val="00056D88"/>
    <w:rsid w:val="00057A1E"/>
    <w:rsid w:val="00060310"/>
    <w:rsid w:val="00060432"/>
    <w:rsid w:val="000604A4"/>
    <w:rsid w:val="00061034"/>
    <w:rsid w:val="00062038"/>
    <w:rsid w:val="0006224F"/>
    <w:rsid w:val="00062FD8"/>
    <w:rsid w:val="00070827"/>
    <w:rsid w:val="00070BBB"/>
    <w:rsid w:val="00072F40"/>
    <w:rsid w:val="00073273"/>
    <w:rsid w:val="0007338F"/>
    <w:rsid w:val="0007398C"/>
    <w:rsid w:val="00073F6F"/>
    <w:rsid w:val="000741E8"/>
    <w:rsid w:val="00074514"/>
    <w:rsid w:val="00075AF1"/>
    <w:rsid w:val="00075F39"/>
    <w:rsid w:val="000770B4"/>
    <w:rsid w:val="000810FE"/>
    <w:rsid w:val="000816B0"/>
    <w:rsid w:val="00082B09"/>
    <w:rsid w:val="000838E3"/>
    <w:rsid w:val="0008478C"/>
    <w:rsid w:val="000866BA"/>
    <w:rsid w:val="00087565"/>
    <w:rsid w:val="00091070"/>
    <w:rsid w:val="00091C15"/>
    <w:rsid w:val="00091D62"/>
    <w:rsid w:val="000929BE"/>
    <w:rsid w:val="00092FBB"/>
    <w:rsid w:val="000952BD"/>
    <w:rsid w:val="000953D3"/>
    <w:rsid w:val="0009573B"/>
    <w:rsid w:val="00096385"/>
    <w:rsid w:val="000A2A50"/>
    <w:rsid w:val="000A35C5"/>
    <w:rsid w:val="000A5277"/>
    <w:rsid w:val="000A56A9"/>
    <w:rsid w:val="000A62B3"/>
    <w:rsid w:val="000A6A5D"/>
    <w:rsid w:val="000B2059"/>
    <w:rsid w:val="000B25A4"/>
    <w:rsid w:val="000B392A"/>
    <w:rsid w:val="000B3FD1"/>
    <w:rsid w:val="000B5042"/>
    <w:rsid w:val="000B73C9"/>
    <w:rsid w:val="000C0FD7"/>
    <w:rsid w:val="000C1705"/>
    <w:rsid w:val="000C17A2"/>
    <w:rsid w:val="000C1B20"/>
    <w:rsid w:val="000C1DBE"/>
    <w:rsid w:val="000C61C0"/>
    <w:rsid w:val="000C7781"/>
    <w:rsid w:val="000D0B48"/>
    <w:rsid w:val="000D2631"/>
    <w:rsid w:val="000D281E"/>
    <w:rsid w:val="000D5425"/>
    <w:rsid w:val="000D5794"/>
    <w:rsid w:val="000D7A25"/>
    <w:rsid w:val="000E053A"/>
    <w:rsid w:val="000E099B"/>
    <w:rsid w:val="000E1434"/>
    <w:rsid w:val="000E3F1B"/>
    <w:rsid w:val="000E40D7"/>
    <w:rsid w:val="000E5376"/>
    <w:rsid w:val="000E67F5"/>
    <w:rsid w:val="000F155E"/>
    <w:rsid w:val="000F2146"/>
    <w:rsid w:val="000F4B91"/>
    <w:rsid w:val="000F5503"/>
    <w:rsid w:val="000F57F6"/>
    <w:rsid w:val="000F5BD0"/>
    <w:rsid w:val="000F5E6E"/>
    <w:rsid w:val="000F78C3"/>
    <w:rsid w:val="00101CC8"/>
    <w:rsid w:val="00102DF6"/>
    <w:rsid w:val="0010539C"/>
    <w:rsid w:val="00107915"/>
    <w:rsid w:val="00111C5F"/>
    <w:rsid w:val="00113847"/>
    <w:rsid w:val="00114864"/>
    <w:rsid w:val="0011569C"/>
    <w:rsid w:val="001167BE"/>
    <w:rsid w:val="00117FED"/>
    <w:rsid w:val="00120886"/>
    <w:rsid w:val="001228AE"/>
    <w:rsid w:val="00122AA1"/>
    <w:rsid w:val="00123869"/>
    <w:rsid w:val="001239BD"/>
    <w:rsid w:val="001250D4"/>
    <w:rsid w:val="001265A9"/>
    <w:rsid w:val="00126CFC"/>
    <w:rsid w:val="001271BE"/>
    <w:rsid w:val="00127EA4"/>
    <w:rsid w:val="00131EAB"/>
    <w:rsid w:val="00134240"/>
    <w:rsid w:val="00137BB4"/>
    <w:rsid w:val="00137F8C"/>
    <w:rsid w:val="00140447"/>
    <w:rsid w:val="00141F33"/>
    <w:rsid w:val="00143D1E"/>
    <w:rsid w:val="00143E8C"/>
    <w:rsid w:val="00144ED8"/>
    <w:rsid w:val="0014555A"/>
    <w:rsid w:val="001462D9"/>
    <w:rsid w:val="00146672"/>
    <w:rsid w:val="00150BF9"/>
    <w:rsid w:val="001538FA"/>
    <w:rsid w:val="001559DA"/>
    <w:rsid w:val="0015633F"/>
    <w:rsid w:val="001606D5"/>
    <w:rsid w:val="001613B7"/>
    <w:rsid w:val="00161C8D"/>
    <w:rsid w:val="00162B63"/>
    <w:rsid w:val="00165D67"/>
    <w:rsid w:val="0016618E"/>
    <w:rsid w:val="00166961"/>
    <w:rsid w:val="0017098C"/>
    <w:rsid w:val="00172F38"/>
    <w:rsid w:val="00173656"/>
    <w:rsid w:val="00174323"/>
    <w:rsid w:val="00174689"/>
    <w:rsid w:val="001747EC"/>
    <w:rsid w:val="00176622"/>
    <w:rsid w:val="0017665A"/>
    <w:rsid w:val="001827D6"/>
    <w:rsid w:val="0018699C"/>
    <w:rsid w:val="00187D3C"/>
    <w:rsid w:val="00190D45"/>
    <w:rsid w:val="00190D4C"/>
    <w:rsid w:val="00192049"/>
    <w:rsid w:val="00194302"/>
    <w:rsid w:val="001947F5"/>
    <w:rsid w:val="0019501D"/>
    <w:rsid w:val="00196611"/>
    <w:rsid w:val="001969D2"/>
    <w:rsid w:val="00196F01"/>
    <w:rsid w:val="001A0221"/>
    <w:rsid w:val="001A0ADA"/>
    <w:rsid w:val="001A5088"/>
    <w:rsid w:val="001A6B5B"/>
    <w:rsid w:val="001B17A1"/>
    <w:rsid w:val="001B17C1"/>
    <w:rsid w:val="001B2F3F"/>
    <w:rsid w:val="001B424A"/>
    <w:rsid w:val="001B6463"/>
    <w:rsid w:val="001B7345"/>
    <w:rsid w:val="001C0DE2"/>
    <w:rsid w:val="001C2328"/>
    <w:rsid w:val="001C3544"/>
    <w:rsid w:val="001C5187"/>
    <w:rsid w:val="001C5E9F"/>
    <w:rsid w:val="001C691F"/>
    <w:rsid w:val="001C6CC1"/>
    <w:rsid w:val="001D07A9"/>
    <w:rsid w:val="001D08C8"/>
    <w:rsid w:val="001D08CD"/>
    <w:rsid w:val="001D0BE5"/>
    <w:rsid w:val="001D15B2"/>
    <w:rsid w:val="001D2369"/>
    <w:rsid w:val="001D3ACD"/>
    <w:rsid w:val="001D3C03"/>
    <w:rsid w:val="001D52B0"/>
    <w:rsid w:val="001D5CC7"/>
    <w:rsid w:val="001D5E21"/>
    <w:rsid w:val="001D6651"/>
    <w:rsid w:val="001D6A8A"/>
    <w:rsid w:val="001D6D52"/>
    <w:rsid w:val="001D6FF7"/>
    <w:rsid w:val="001E0E65"/>
    <w:rsid w:val="001E1015"/>
    <w:rsid w:val="001E2263"/>
    <w:rsid w:val="001E284D"/>
    <w:rsid w:val="001E2A89"/>
    <w:rsid w:val="001E32A0"/>
    <w:rsid w:val="001E3EE0"/>
    <w:rsid w:val="001E5D41"/>
    <w:rsid w:val="001E60D7"/>
    <w:rsid w:val="001E66C8"/>
    <w:rsid w:val="001E7B04"/>
    <w:rsid w:val="001F02DD"/>
    <w:rsid w:val="001F15CF"/>
    <w:rsid w:val="001F2E4E"/>
    <w:rsid w:val="001F33B3"/>
    <w:rsid w:val="001F4219"/>
    <w:rsid w:val="001F42DC"/>
    <w:rsid w:val="001F4307"/>
    <w:rsid w:val="001F5070"/>
    <w:rsid w:val="001F51EB"/>
    <w:rsid w:val="002010F1"/>
    <w:rsid w:val="002016F4"/>
    <w:rsid w:val="002036C0"/>
    <w:rsid w:val="002038BF"/>
    <w:rsid w:val="0020489B"/>
    <w:rsid w:val="0020582B"/>
    <w:rsid w:val="002107EF"/>
    <w:rsid w:val="00211936"/>
    <w:rsid w:val="00213212"/>
    <w:rsid w:val="00213275"/>
    <w:rsid w:val="0021346A"/>
    <w:rsid w:val="00213E8B"/>
    <w:rsid w:val="00213EC9"/>
    <w:rsid w:val="002146CD"/>
    <w:rsid w:val="00214EF1"/>
    <w:rsid w:val="00215E30"/>
    <w:rsid w:val="002162A8"/>
    <w:rsid w:val="00217B62"/>
    <w:rsid w:val="00217F17"/>
    <w:rsid w:val="00220491"/>
    <w:rsid w:val="00220AA6"/>
    <w:rsid w:val="002229BF"/>
    <w:rsid w:val="00222A8A"/>
    <w:rsid w:val="00222DCA"/>
    <w:rsid w:val="00222F9B"/>
    <w:rsid w:val="002235C3"/>
    <w:rsid w:val="00223B63"/>
    <w:rsid w:val="002242F1"/>
    <w:rsid w:val="00224847"/>
    <w:rsid w:val="00224D75"/>
    <w:rsid w:val="002252A2"/>
    <w:rsid w:val="0022717F"/>
    <w:rsid w:val="00227C24"/>
    <w:rsid w:val="00230C69"/>
    <w:rsid w:val="00230DF7"/>
    <w:rsid w:val="00234385"/>
    <w:rsid w:val="00236322"/>
    <w:rsid w:val="00240172"/>
    <w:rsid w:val="002401A5"/>
    <w:rsid w:val="00240459"/>
    <w:rsid w:val="002410C0"/>
    <w:rsid w:val="00241FAF"/>
    <w:rsid w:val="00244ACE"/>
    <w:rsid w:val="00245CDC"/>
    <w:rsid w:val="0024724B"/>
    <w:rsid w:val="00247E66"/>
    <w:rsid w:val="002508E0"/>
    <w:rsid w:val="00250DAD"/>
    <w:rsid w:val="00251453"/>
    <w:rsid w:val="00251C5B"/>
    <w:rsid w:val="00255D15"/>
    <w:rsid w:val="00255FCA"/>
    <w:rsid w:val="00260CD2"/>
    <w:rsid w:val="00261E6F"/>
    <w:rsid w:val="00262392"/>
    <w:rsid w:val="00262668"/>
    <w:rsid w:val="00262BBF"/>
    <w:rsid w:val="00265DE6"/>
    <w:rsid w:val="002667D3"/>
    <w:rsid w:val="002676D8"/>
    <w:rsid w:val="00267D52"/>
    <w:rsid w:val="002708E1"/>
    <w:rsid w:val="002712D8"/>
    <w:rsid w:val="002736D9"/>
    <w:rsid w:val="00273E5C"/>
    <w:rsid w:val="00275A0A"/>
    <w:rsid w:val="00275ADF"/>
    <w:rsid w:val="0027605A"/>
    <w:rsid w:val="00276106"/>
    <w:rsid w:val="00277D26"/>
    <w:rsid w:val="00280021"/>
    <w:rsid w:val="00280E27"/>
    <w:rsid w:val="00281E5F"/>
    <w:rsid w:val="0028408C"/>
    <w:rsid w:val="002846C7"/>
    <w:rsid w:val="00284AA2"/>
    <w:rsid w:val="00286466"/>
    <w:rsid w:val="0029167D"/>
    <w:rsid w:val="00291BFA"/>
    <w:rsid w:val="00291E80"/>
    <w:rsid w:val="002946D7"/>
    <w:rsid w:val="00296D7A"/>
    <w:rsid w:val="002974D9"/>
    <w:rsid w:val="00297852"/>
    <w:rsid w:val="002A0394"/>
    <w:rsid w:val="002A0B3F"/>
    <w:rsid w:val="002A4391"/>
    <w:rsid w:val="002A4E9B"/>
    <w:rsid w:val="002A5701"/>
    <w:rsid w:val="002A65CB"/>
    <w:rsid w:val="002B1C7A"/>
    <w:rsid w:val="002B20AC"/>
    <w:rsid w:val="002B2BA0"/>
    <w:rsid w:val="002B57D4"/>
    <w:rsid w:val="002B6C9B"/>
    <w:rsid w:val="002C081F"/>
    <w:rsid w:val="002C0CF0"/>
    <w:rsid w:val="002C2AB7"/>
    <w:rsid w:val="002C4207"/>
    <w:rsid w:val="002C6B45"/>
    <w:rsid w:val="002C7858"/>
    <w:rsid w:val="002C7ABE"/>
    <w:rsid w:val="002C7B5F"/>
    <w:rsid w:val="002D00FF"/>
    <w:rsid w:val="002D08F7"/>
    <w:rsid w:val="002D0B20"/>
    <w:rsid w:val="002D18BF"/>
    <w:rsid w:val="002D27C9"/>
    <w:rsid w:val="002D63D1"/>
    <w:rsid w:val="002D6EEA"/>
    <w:rsid w:val="002E0ACE"/>
    <w:rsid w:val="002E69A5"/>
    <w:rsid w:val="002E6C52"/>
    <w:rsid w:val="002E71F4"/>
    <w:rsid w:val="002E730C"/>
    <w:rsid w:val="002E7B42"/>
    <w:rsid w:val="002F0B05"/>
    <w:rsid w:val="002F1D35"/>
    <w:rsid w:val="002F38C8"/>
    <w:rsid w:val="002F3998"/>
    <w:rsid w:val="002F3DF2"/>
    <w:rsid w:val="002F4A72"/>
    <w:rsid w:val="002F5895"/>
    <w:rsid w:val="002F7622"/>
    <w:rsid w:val="00300545"/>
    <w:rsid w:val="00300801"/>
    <w:rsid w:val="003023AE"/>
    <w:rsid w:val="00302BE2"/>
    <w:rsid w:val="00302D14"/>
    <w:rsid w:val="00303030"/>
    <w:rsid w:val="003034C8"/>
    <w:rsid w:val="00303EAE"/>
    <w:rsid w:val="00304227"/>
    <w:rsid w:val="00306DA2"/>
    <w:rsid w:val="00306FDB"/>
    <w:rsid w:val="00313CA2"/>
    <w:rsid w:val="00316EF5"/>
    <w:rsid w:val="003204D6"/>
    <w:rsid w:val="003235C7"/>
    <w:rsid w:val="003277D4"/>
    <w:rsid w:val="00327B1D"/>
    <w:rsid w:val="00335FDA"/>
    <w:rsid w:val="00336707"/>
    <w:rsid w:val="0033676D"/>
    <w:rsid w:val="00336C56"/>
    <w:rsid w:val="00340C41"/>
    <w:rsid w:val="0034173E"/>
    <w:rsid w:val="00341CC4"/>
    <w:rsid w:val="00342109"/>
    <w:rsid w:val="0034233B"/>
    <w:rsid w:val="00342B14"/>
    <w:rsid w:val="00343211"/>
    <w:rsid w:val="00344D3A"/>
    <w:rsid w:val="00345562"/>
    <w:rsid w:val="0035139C"/>
    <w:rsid w:val="00351AE9"/>
    <w:rsid w:val="0035263E"/>
    <w:rsid w:val="00352887"/>
    <w:rsid w:val="00353FBE"/>
    <w:rsid w:val="00356CB2"/>
    <w:rsid w:val="003572CC"/>
    <w:rsid w:val="00357AFF"/>
    <w:rsid w:val="00357B10"/>
    <w:rsid w:val="00360207"/>
    <w:rsid w:val="003616D6"/>
    <w:rsid w:val="00361CF5"/>
    <w:rsid w:val="00363112"/>
    <w:rsid w:val="003635E3"/>
    <w:rsid w:val="00363FDF"/>
    <w:rsid w:val="00364264"/>
    <w:rsid w:val="00364440"/>
    <w:rsid w:val="00364930"/>
    <w:rsid w:val="00364D2B"/>
    <w:rsid w:val="00364E08"/>
    <w:rsid w:val="0037098A"/>
    <w:rsid w:val="003738BA"/>
    <w:rsid w:val="0037442F"/>
    <w:rsid w:val="00374DDC"/>
    <w:rsid w:val="00375F1D"/>
    <w:rsid w:val="00376335"/>
    <w:rsid w:val="00376BDF"/>
    <w:rsid w:val="00377126"/>
    <w:rsid w:val="00377802"/>
    <w:rsid w:val="00381490"/>
    <w:rsid w:val="00382797"/>
    <w:rsid w:val="0038471B"/>
    <w:rsid w:val="003870C3"/>
    <w:rsid w:val="00392888"/>
    <w:rsid w:val="00393EAF"/>
    <w:rsid w:val="003941CA"/>
    <w:rsid w:val="00395057"/>
    <w:rsid w:val="0039675F"/>
    <w:rsid w:val="00397D60"/>
    <w:rsid w:val="003A2C66"/>
    <w:rsid w:val="003A3737"/>
    <w:rsid w:val="003A5DB4"/>
    <w:rsid w:val="003A610C"/>
    <w:rsid w:val="003A6AA8"/>
    <w:rsid w:val="003B0352"/>
    <w:rsid w:val="003B3239"/>
    <w:rsid w:val="003B45CA"/>
    <w:rsid w:val="003B49A4"/>
    <w:rsid w:val="003B4FF1"/>
    <w:rsid w:val="003B76BF"/>
    <w:rsid w:val="003C01CA"/>
    <w:rsid w:val="003C099C"/>
    <w:rsid w:val="003C1850"/>
    <w:rsid w:val="003C1CAB"/>
    <w:rsid w:val="003C23CD"/>
    <w:rsid w:val="003C48D1"/>
    <w:rsid w:val="003C5EDC"/>
    <w:rsid w:val="003C68ED"/>
    <w:rsid w:val="003C7802"/>
    <w:rsid w:val="003D07E4"/>
    <w:rsid w:val="003D322D"/>
    <w:rsid w:val="003D342B"/>
    <w:rsid w:val="003D3AAD"/>
    <w:rsid w:val="003D5532"/>
    <w:rsid w:val="003D6220"/>
    <w:rsid w:val="003D7E4D"/>
    <w:rsid w:val="003E2349"/>
    <w:rsid w:val="003E2530"/>
    <w:rsid w:val="003E3EB1"/>
    <w:rsid w:val="003E58CA"/>
    <w:rsid w:val="003E64A2"/>
    <w:rsid w:val="003E6938"/>
    <w:rsid w:val="003E7321"/>
    <w:rsid w:val="003E732E"/>
    <w:rsid w:val="003F00A7"/>
    <w:rsid w:val="003F050F"/>
    <w:rsid w:val="003F1674"/>
    <w:rsid w:val="003F1EA4"/>
    <w:rsid w:val="003F28DF"/>
    <w:rsid w:val="003F4C56"/>
    <w:rsid w:val="003F631B"/>
    <w:rsid w:val="003F6740"/>
    <w:rsid w:val="003F7539"/>
    <w:rsid w:val="003F77A0"/>
    <w:rsid w:val="00401815"/>
    <w:rsid w:val="004024D5"/>
    <w:rsid w:val="00403ABA"/>
    <w:rsid w:val="00405BE3"/>
    <w:rsid w:val="004066C1"/>
    <w:rsid w:val="004079D2"/>
    <w:rsid w:val="00415662"/>
    <w:rsid w:val="00417128"/>
    <w:rsid w:val="00420D4B"/>
    <w:rsid w:val="00421734"/>
    <w:rsid w:val="00422EB2"/>
    <w:rsid w:val="00423176"/>
    <w:rsid w:val="00424A56"/>
    <w:rsid w:val="00425BE7"/>
    <w:rsid w:val="00425FCA"/>
    <w:rsid w:val="004278CE"/>
    <w:rsid w:val="004315A4"/>
    <w:rsid w:val="00432759"/>
    <w:rsid w:val="00432AE3"/>
    <w:rsid w:val="00435FBE"/>
    <w:rsid w:val="00437C3B"/>
    <w:rsid w:val="00437C59"/>
    <w:rsid w:val="00440D32"/>
    <w:rsid w:val="00445521"/>
    <w:rsid w:val="00447E91"/>
    <w:rsid w:val="00447F69"/>
    <w:rsid w:val="0045044F"/>
    <w:rsid w:val="00450FFF"/>
    <w:rsid w:val="00452240"/>
    <w:rsid w:val="00452428"/>
    <w:rsid w:val="00452787"/>
    <w:rsid w:val="00452C3E"/>
    <w:rsid w:val="004534CE"/>
    <w:rsid w:val="00453A14"/>
    <w:rsid w:val="00454202"/>
    <w:rsid w:val="00454DF9"/>
    <w:rsid w:val="00456E10"/>
    <w:rsid w:val="00457CC3"/>
    <w:rsid w:val="00464EF8"/>
    <w:rsid w:val="00466C2D"/>
    <w:rsid w:val="0046733C"/>
    <w:rsid w:val="00467627"/>
    <w:rsid w:val="00472772"/>
    <w:rsid w:val="004728D4"/>
    <w:rsid w:val="0047384A"/>
    <w:rsid w:val="00473AC8"/>
    <w:rsid w:val="004745FD"/>
    <w:rsid w:val="00474A00"/>
    <w:rsid w:val="00475D3A"/>
    <w:rsid w:val="00475FCD"/>
    <w:rsid w:val="0047753D"/>
    <w:rsid w:val="00480065"/>
    <w:rsid w:val="004824F9"/>
    <w:rsid w:val="004837E4"/>
    <w:rsid w:val="00485B53"/>
    <w:rsid w:val="00486183"/>
    <w:rsid w:val="00487E0D"/>
    <w:rsid w:val="00490AE5"/>
    <w:rsid w:val="00490BB0"/>
    <w:rsid w:val="00490DE0"/>
    <w:rsid w:val="00491884"/>
    <w:rsid w:val="004929C6"/>
    <w:rsid w:val="004949EA"/>
    <w:rsid w:val="004961D9"/>
    <w:rsid w:val="0049700D"/>
    <w:rsid w:val="004971C6"/>
    <w:rsid w:val="00497222"/>
    <w:rsid w:val="004A00B2"/>
    <w:rsid w:val="004A13F3"/>
    <w:rsid w:val="004A1A77"/>
    <w:rsid w:val="004A1C60"/>
    <w:rsid w:val="004A2C81"/>
    <w:rsid w:val="004A312C"/>
    <w:rsid w:val="004A7FEC"/>
    <w:rsid w:val="004B30DD"/>
    <w:rsid w:val="004B42EB"/>
    <w:rsid w:val="004C0991"/>
    <w:rsid w:val="004C0A28"/>
    <w:rsid w:val="004C1441"/>
    <w:rsid w:val="004C1E11"/>
    <w:rsid w:val="004C29A0"/>
    <w:rsid w:val="004C2DC2"/>
    <w:rsid w:val="004C374B"/>
    <w:rsid w:val="004C4791"/>
    <w:rsid w:val="004C6788"/>
    <w:rsid w:val="004C7D37"/>
    <w:rsid w:val="004D080B"/>
    <w:rsid w:val="004D0F10"/>
    <w:rsid w:val="004D2685"/>
    <w:rsid w:val="004D3C8B"/>
    <w:rsid w:val="004D7328"/>
    <w:rsid w:val="004E147C"/>
    <w:rsid w:val="004E14AD"/>
    <w:rsid w:val="004E18FF"/>
    <w:rsid w:val="004E373F"/>
    <w:rsid w:val="004E3E91"/>
    <w:rsid w:val="004E4AAD"/>
    <w:rsid w:val="004E7C1A"/>
    <w:rsid w:val="004E7F19"/>
    <w:rsid w:val="004F152E"/>
    <w:rsid w:val="004F2994"/>
    <w:rsid w:val="004F3118"/>
    <w:rsid w:val="004F4828"/>
    <w:rsid w:val="004F547F"/>
    <w:rsid w:val="004F6EB8"/>
    <w:rsid w:val="004F7403"/>
    <w:rsid w:val="00500A91"/>
    <w:rsid w:val="00502B2B"/>
    <w:rsid w:val="00502F37"/>
    <w:rsid w:val="00503286"/>
    <w:rsid w:val="005038E6"/>
    <w:rsid w:val="0050429F"/>
    <w:rsid w:val="00504840"/>
    <w:rsid w:val="00507189"/>
    <w:rsid w:val="0051271F"/>
    <w:rsid w:val="005134F5"/>
    <w:rsid w:val="00513674"/>
    <w:rsid w:val="0051374C"/>
    <w:rsid w:val="005139BC"/>
    <w:rsid w:val="0051474A"/>
    <w:rsid w:val="00514A69"/>
    <w:rsid w:val="00514C84"/>
    <w:rsid w:val="00516116"/>
    <w:rsid w:val="005165B3"/>
    <w:rsid w:val="005179F1"/>
    <w:rsid w:val="00517DDB"/>
    <w:rsid w:val="005207B8"/>
    <w:rsid w:val="00520F24"/>
    <w:rsid w:val="00520FE4"/>
    <w:rsid w:val="0052106D"/>
    <w:rsid w:val="00521A4D"/>
    <w:rsid w:val="00522171"/>
    <w:rsid w:val="00522D34"/>
    <w:rsid w:val="00524F80"/>
    <w:rsid w:val="00525009"/>
    <w:rsid w:val="0052509F"/>
    <w:rsid w:val="00525BAC"/>
    <w:rsid w:val="00530BE4"/>
    <w:rsid w:val="005313F0"/>
    <w:rsid w:val="005322AC"/>
    <w:rsid w:val="005354BF"/>
    <w:rsid w:val="00536935"/>
    <w:rsid w:val="005372BE"/>
    <w:rsid w:val="00540FBB"/>
    <w:rsid w:val="00542273"/>
    <w:rsid w:val="005457F6"/>
    <w:rsid w:val="00545CA7"/>
    <w:rsid w:val="00547BB1"/>
    <w:rsid w:val="00547DBD"/>
    <w:rsid w:val="005530E3"/>
    <w:rsid w:val="005536BA"/>
    <w:rsid w:val="005545B5"/>
    <w:rsid w:val="00554B8F"/>
    <w:rsid w:val="005602E1"/>
    <w:rsid w:val="00560A41"/>
    <w:rsid w:val="00561D00"/>
    <w:rsid w:val="00562468"/>
    <w:rsid w:val="00562594"/>
    <w:rsid w:val="0056289F"/>
    <w:rsid w:val="0056350B"/>
    <w:rsid w:val="00563EC4"/>
    <w:rsid w:val="00566B38"/>
    <w:rsid w:val="0057140C"/>
    <w:rsid w:val="0057192F"/>
    <w:rsid w:val="00572C7D"/>
    <w:rsid w:val="00573B2E"/>
    <w:rsid w:val="00575CEE"/>
    <w:rsid w:val="00576056"/>
    <w:rsid w:val="00576A5A"/>
    <w:rsid w:val="00581EA6"/>
    <w:rsid w:val="00583360"/>
    <w:rsid w:val="005853A8"/>
    <w:rsid w:val="005855E7"/>
    <w:rsid w:val="005865AB"/>
    <w:rsid w:val="005876FD"/>
    <w:rsid w:val="00591BE7"/>
    <w:rsid w:val="00593B46"/>
    <w:rsid w:val="0059608B"/>
    <w:rsid w:val="00596201"/>
    <w:rsid w:val="00597DFA"/>
    <w:rsid w:val="00597F00"/>
    <w:rsid w:val="005A0F49"/>
    <w:rsid w:val="005A0FA5"/>
    <w:rsid w:val="005A14C5"/>
    <w:rsid w:val="005A157A"/>
    <w:rsid w:val="005A2822"/>
    <w:rsid w:val="005A36BB"/>
    <w:rsid w:val="005A7375"/>
    <w:rsid w:val="005A7515"/>
    <w:rsid w:val="005A791B"/>
    <w:rsid w:val="005A7BBD"/>
    <w:rsid w:val="005A7FC8"/>
    <w:rsid w:val="005B0BF7"/>
    <w:rsid w:val="005B12D1"/>
    <w:rsid w:val="005B4173"/>
    <w:rsid w:val="005B5EB6"/>
    <w:rsid w:val="005B5FFB"/>
    <w:rsid w:val="005B65EF"/>
    <w:rsid w:val="005B68B9"/>
    <w:rsid w:val="005C0453"/>
    <w:rsid w:val="005C07BE"/>
    <w:rsid w:val="005C0D9A"/>
    <w:rsid w:val="005C10B6"/>
    <w:rsid w:val="005C1419"/>
    <w:rsid w:val="005C26FD"/>
    <w:rsid w:val="005C4D7D"/>
    <w:rsid w:val="005C6429"/>
    <w:rsid w:val="005C7304"/>
    <w:rsid w:val="005D060E"/>
    <w:rsid w:val="005D0D92"/>
    <w:rsid w:val="005D10E0"/>
    <w:rsid w:val="005D2785"/>
    <w:rsid w:val="005D38AE"/>
    <w:rsid w:val="005D3E5F"/>
    <w:rsid w:val="005D71CA"/>
    <w:rsid w:val="005E1502"/>
    <w:rsid w:val="005E2DA4"/>
    <w:rsid w:val="005E405B"/>
    <w:rsid w:val="005E44DB"/>
    <w:rsid w:val="005E54C5"/>
    <w:rsid w:val="005E5AAF"/>
    <w:rsid w:val="005F5163"/>
    <w:rsid w:val="005F623F"/>
    <w:rsid w:val="005F7AE8"/>
    <w:rsid w:val="005F7E4C"/>
    <w:rsid w:val="00600E11"/>
    <w:rsid w:val="00601C08"/>
    <w:rsid w:val="00603B8B"/>
    <w:rsid w:val="00603CE0"/>
    <w:rsid w:val="00605DDC"/>
    <w:rsid w:val="00606596"/>
    <w:rsid w:val="006149C2"/>
    <w:rsid w:val="0061538A"/>
    <w:rsid w:val="00615742"/>
    <w:rsid w:val="00616725"/>
    <w:rsid w:val="006167A6"/>
    <w:rsid w:val="00616CE6"/>
    <w:rsid w:val="00616ECB"/>
    <w:rsid w:val="00617684"/>
    <w:rsid w:val="006201FB"/>
    <w:rsid w:val="00625441"/>
    <w:rsid w:val="00627236"/>
    <w:rsid w:val="00627584"/>
    <w:rsid w:val="00627940"/>
    <w:rsid w:val="0063016C"/>
    <w:rsid w:val="0063021A"/>
    <w:rsid w:val="00632DF6"/>
    <w:rsid w:val="0063563C"/>
    <w:rsid w:val="00635E7D"/>
    <w:rsid w:val="0063611B"/>
    <w:rsid w:val="006370F5"/>
    <w:rsid w:val="00642F26"/>
    <w:rsid w:val="006432FB"/>
    <w:rsid w:val="00644C35"/>
    <w:rsid w:val="00644E06"/>
    <w:rsid w:val="006457AA"/>
    <w:rsid w:val="00645E99"/>
    <w:rsid w:val="00646CE2"/>
    <w:rsid w:val="00651B17"/>
    <w:rsid w:val="00653A1B"/>
    <w:rsid w:val="00653DB6"/>
    <w:rsid w:val="00654E00"/>
    <w:rsid w:val="0065588F"/>
    <w:rsid w:val="00656BC4"/>
    <w:rsid w:val="006576B6"/>
    <w:rsid w:val="0066031B"/>
    <w:rsid w:val="0066054B"/>
    <w:rsid w:val="00662796"/>
    <w:rsid w:val="006646D5"/>
    <w:rsid w:val="00664B00"/>
    <w:rsid w:val="00665EED"/>
    <w:rsid w:val="00667C89"/>
    <w:rsid w:val="00670055"/>
    <w:rsid w:val="006702C5"/>
    <w:rsid w:val="00670911"/>
    <w:rsid w:val="00673608"/>
    <w:rsid w:val="006752C4"/>
    <w:rsid w:val="0067549A"/>
    <w:rsid w:val="00676803"/>
    <w:rsid w:val="00680C5C"/>
    <w:rsid w:val="00681454"/>
    <w:rsid w:val="00681EB3"/>
    <w:rsid w:val="006820F0"/>
    <w:rsid w:val="00682694"/>
    <w:rsid w:val="006840CB"/>
    <w:rsid w:val="00684B7C"/>
    <w:rsid w:val="0068576B"/>
    <w:rsid w:val="00686CC1"/>
    <w:rsid w:val="006904BF"/>
    <w:rsid w:val="00691B77"/>
    <w:rsid w:val="00691E47"/>
    <w:rsid w:val="00692477"/>
    <w:rsid w:val="00694739"/>
    <w:rsid w:val="00694CED"/>
    <w:rsid w:val="0069619C"/>
    <w:rsid w:val="00696897"/>
    <w:rsid w:val="006970C1"/>
    <w:rsid w:val="00697C13"/>
    <w:rsid w:val="006A05FC"/>
    <w:rsid w:val="006A4FE6"/>
    <w:rsid w:val="006A56A2"/>
    <w:rsid w:val="006A6079"/>
    <w:rsid w:val="006A6D6C"/>
    <w:rsid w:val="006A7D50"/>
    <w:rsid w:val="006B051D"/>
    <w:rsid w:val="006B10FC"/>
    <w:rsid w:val="006B3BF9"/>
    <w:rsid w:val="006B3CA5"/>
    <w:rsid w:val="006B4107"/>
    <w:rsid w:val="006B42D0"/>
    <w:rsid w:val="006B48CD"/>
    <w:rsid w:val="006B5154"/>
    <w:rsid w:val="006B56BF"/>
    <w:rsid w:val="006B58FC"/>
    <w:rsid w:val="006C11A1"/>
    <w:rsid w:val="006C29F3"/>
    <w:rsid w:val="006C2B3E"/>
    <w:rsid w:val="006C2E4A"/>
    <w:rsid w:val="006C362A"/>
    <w:rsid w:val="006C51C3"/>
    <w:rsid w:val="006C5755"/>
    <w:rsid w:val="006C69D8"/>
    <w:rsid w:val="006C6B9A"/>
    <w:rsid w:val="006D246D"/>
    <w:rsid w:val="006D308F"/>
    <w:rsid w:val="006D3459"/>
    <w:rsid w:val="006D36AE"/>
    <w:rsid w:val="006D4D50"/>
    <w:rsid w:val="006D662F"/>
    <w:rsid w:val="006D732D"/>
    <w:rsid w:val="006D7BF9"/>
    <w:rsid w:val="006E2501"/>
    <w:rsid w:val="006E56C9"/>
    <w:rsid w:val="006E5FE8"/>
    <w:rsid w:val="006E7809"/>
    <w:rsid w:val="006F0450"/>
    <w:rsid w:val="006F3084"/>
    <w:rsid w:val="006F400C"/>
    <w:rsid w:val="006F431B"/>
    <w:rsid w:val="006F441B"/>
    <w:rsid w:val="006F4E96"/>
    <w:rsid w:val="006F5323"/>
    <w:rsid w:val="006F540F"/>
    <w:rsid w:val="006F62DA"/>
    <w:rsid w:val="007000BF"/>
    <w:rsid w:val="00700A78"/>
    <w:rsid w:val="0070115A"/>
    <w:rsid w:val="00701AC7"/>
    <w:rsid w:val="00701FD2"/>
    <w:rsid w:val="0070663F"/>
    <w:rsid w:val="00706663"/>
    <w:rsid w:val="00707142"/>
    <w:rsid w:val="0071058C"/>
    <w:rsid w:val="0071097C"/>
    <w:rsid w:val="00710A7B"/>
    <w:rsid w:val="007116E6"/>
    <w:rsid w:val="00711AD8"/>
    <w:rsid w:val="0071233D"/>
    <w:rsid w:val="00714B24"/>
    <w:rsid w:val="00714F63"/>
    <w:rsid w:val="007156B5"/>
    <w:rsid w:val="00717B3D"/>
    <w:rsid w:val="00717CB8"/>
    <w:rsid w:val="00720DCF"/>
    <w:rsid w:val="007212D0"/>
    <w:rsid w:val="00721966"/>
    <w:rsid w:val="00722FD1"/>
    <w:rsid w:val="00723693"/>
    <w:rsid w:val="00731DD1"/>
    <w:rsid w:val="00732DD9"/>
    <w:rsid w:val="00733B35"/>
    <w:rsid w:val="00736775"/>
    <w:rsid w:val="007368E8"/>
    <w:rsid w:val="00736C33"/>
    <w:rsid w:val="00737275"/>
    <w:rsid w:val="0073777D"/>
    <w:rsid w:val="00741230"/>
    <w:rsid w:val="00744442"/>
    <w:rsid w:val="0074474B"/>
    <w:rsid w:val="00744CAB"/>
    <w:rsid w:val="00745189"/>
    <w:rsid w:val="00745E84"/>
    <w:rsid w:val="00746524"/>
    <w:rsid w:val="00746BAD"/>
    <w:rsid w:val="007504A9"/>
    <w:rsid w:val="007512C6"/>
    <w:rsid w:val="0075174D"/>
    <w:rsid w:val="00753A23"/>
    <w:rsid w:val="00753CD9"/>
    <w:rsid w:val="007546EB"/>
    <w:rsid w:val="00760D55"/>
    <w:rsid w:val="00762048"/>
    <w:rsid w:val="00762F1D"/>
    <w:rsid w:val="00763515"/>
    <w:rsid w:val="00763629"/>
    <w:rsid w:val="00765AE8"/>
    <w:rsid w:val="00765E16"/>
    <w:rsid w:val="0077184A"/>
    <w:rsid w:val="00773056"/>
    <w:rsid w:val="00773166"/>
    <w:rsid w:val="0077456B"/>
    <w:rsid w:val="00774C13"/>
    <w:rsid w:val="00774DF0"/>
    <w:rsid w:val="007800B8"/>
    <w:rsid w:val="007802DD"/>
    <w:rsid w:val="00783DA5"/>
    <w:rsid w:val="00786904"/>
    <w:rsid w:val="007878E3"/>
    <w:rsid w:val="00790CDD"/>
    <w:rsid w:val="00791B5A"/>
    <w:rsid w:val="00791E59"/>
    <w:rsid w:val="00792090"/>
    <w:rsid w:val="00792B91"/>
    <w:rsid w:val="007930F0"/>
    <w:rsid w:val="00793670"/>
    <w:rsid w:val="00796DD1"/>
    <w:rsid w:val="00797D74"/>
    <w:rsid w:val="007A019A"/>
    <w:rsid w:val="007A2114"/>
    <w:rsid w:val="007A230E"/>
    <w:rsid w:val="007A3A31"/>
    <w:rsid w:val="007A407F"/>
    <w:rsid w:val="007A5BEF"/>
    <w:rsid w:val="007A5E18"/>
    <w:rsid w:val="007A6338"/>
    <w:rsid w:val="007A661B"/>
    <w:rsid w:val="007B1DFA"/>
    <w:rsid w:val="007B39FA"/>
    <w:rsid w:val="007B3A73"/>
    <w:rsid w:val="007B5A04"/>
    <w:rsid w:val="007B638F"/>
    <w:rsid w:val="007B7F16"/>
    <w:rsid w:val="007C20C2"/>
    <w:rsid w:val="007C49B6"/>
    <w:rsid w:val="007C4E5F"/>
    <w:rsid w:val="007C5022"/>
    <w:rsid w:val="007C6C83"/>
    <w:rsid w:val="007C7741"/>
    <w:rsid w:val="007D1175"/>
    <w:rsid w:val="007D28D4"/>
    <w:rsid w:val="007D2FA7"/>
    <w:rsid w:val="007D30D5"/>
    <w:rsid w:val="007D490C"/>
    <w:rsid w:val="007D4F6E"/>
    <w:rsid w:val="007D6DB1"/>
    <w:rsid w:val="007D7570"/>
    <w:rsid w:val="007D7671"/>
    <w:rsid w:val="007E067C"/>
    <w:rsid w:val="007E0ACB"/>
    <w:rsid w:val="007E101B"/>
    <w:rsid w:val="007E20E7"/>
    <w:rsid w:val="007E38EC"/>
    <w:rsid w:val="007E3B54"/>
    <w:rsid w:val="007E4CBF"/>
    <w:rsid w:val="007E6B60"/>
    <w:rsid w:val="007E7941"/>
    <w:rsid w:val="007F01DF"/>
    <w:rsid w:val="007F07E8"/>
    <w:rsid w:val="007F0D74"/>
    <w:rsid w:val="007F3538"/>
    <w:rsid w:val="007F498D"/>
    <w:rsid w:val="007F4E9A"/>
    <w:rsid w:val="008003D9"/>
    <w:rsid w:val="00800544"/>
    <w:rsid w:val="00801380"/>
    <w:rsid w:val="00801989"/>
    <w:rsid w:val="00803F5C"/>
    <w:rsid w:val="008072E7"/>
    <w:rsid w:val="008075B8"/>
    <w:rsid w:val="00807F8A"/>
    <w:rsid w:val="008107A3"/>
    <w:rsid w:val="00810EA4"/>
    <w:rsid w:val="00811A8A"/>
    <w:rsid w:val="008125FF"/>
    <w:rsid w:val="00812C08"/>
    <w:rsid w:val="008137A8"/>
    <w:rsid w:val="00813A98"/>
    <w:rsid w:val="0081485B"/>
    <w:rsid w:val="008156B9"/>
    <w:rsid w:val="008156BD"/>
    <w:rsid w:val="008166F3"/>
    <w:rsid w:val="00817FE0"/>
    <w:rsid w:val="008203BF"/>
    <w:rsid w:val="00820EA2"/>
    <w:rsid w:val="008217FD"/>
    <w:rsid w:val="00821CC8"/>
    <w:rsid w:val="008225B3"/>
    <w:rsid w:val="00823C50"/>
    <w:rsid w:val="00823C60"/>
    <w:rsid w:val="00823C62"/>
    <w:rsid w:val="0082565A"/>
    <w:rsid w:val="00825F19"/>
    <w:rsid w:val="008313A6"/>
    <w:rsid w:val="00831E11"/>
    <w:rsid w:val="00833AC7"/>
    <w:rsid w:val="00833E69"/>
    <w:rsid w:val="00835941"/>
    <w:rsid w:val="00835ABE"/>
    <w:rsid w:val="008360FB"/>
    <w:rsid w:val="0083772E"/>
    <w:rsid w:val="00840877"/>
    <w:rsid w:val="008423A1"/>
    <w:rsid w:val="0084336B"/>
    <w:rsid w:val="00844118"/>
    <w:rsid w:val="008444CB"/>
    <w:rsid w:val="00845406"/>
    <w:rsid w:val="00845A77"/>
    <w:rsid w:val="00845A94"/>
    <w:rsid w:val="00846098"/>
    <w:rsid w:val="0084684F"/>
    <w:rsid w:val="0085134A"/>
    <w:rsid w:val="008519DA"/>
    <w:rsid w:val="00855025"/>
    <w:rsid w:val="00855C73"/>
    <w:rsid w:val="008560B5"/>
    <w:rsid w:val="00857984"/>
    <w:rsid w:val="008605BC"/>
    <w:rsid w:val="00860619"/>
    <w:rsid w:val="0086112E"/>
    <w:rsid w:val="00861908"/>
    <w:rsid w:val="00861A58"/>
    <w:rsid w:val="008625C8"/>
    <w:rsid w:val="00865CE5"/>
    <w:rsid w:val="00865D82"/>
    <w:rsid w:val="008705D0"/>
    <w:rsid w:val="00872FCB"/>
    <w:rsid w:val="0087613B"/>
    <w:rsid w:val="008761AE"/>
    <w:rsid w:val="00876373"/>
    <w:rsid w:val="008776E6"/>
    <w:rsid w:val="00877BF5"/>
    <w:rsid w:val="00877F26"/>
    <w:rsid w:val="00880944"/>
    <w:rsid w:val="00884263"/>
    <w:rsid w:val="0088445F"/>
    <w:rsid w:val="008858FF"/>
    <w:rsid w:val="00890E3B"/>
    <w:rsid w:val="00891EAA"/>
    <w:rsid w:val="00892BE4"/>
    <w:rsid w:val="00896A43"/>
    <w:rsid w:val="00896E3A"/>
    <w:rsid w:val="008A4869"/>
    <w:rsid w:val="008A4EBE"/>
    <w:rsid w:val="008A57EF"/>
    <w:rsid w:val="008A665F"/>
    <w:rsid w:val="008B10A1"/>
    <w:rsid w:val="008B10D6"/>
    <w:rsid w:val="008B26FE"/>
    <w:rsid w:val="008B3A4B"/>
    <w:rsid w:val="008B5B9D"/>
    <w:rsid w:val="008B5EE1"/>
    <w:rsid w:val="008B6445"/>
    <w:rsid w:val="008B71CC"/>
    <w:rsid w:val="008C04D2"/>
    <w:rsid w:val="008C0E4E"/>
    <w:rsid w:val="008C114D"/>
    <w:rsid w:val="008C355E"/>
    <w:rsid w:val="008C3C79"/>
    <w:rsid w:val="008C477C"/>
    <w:rsid w:val="008C5B0C"/>
    <w:rsid w:val="008C6040"/>
    <w:rsid w:val="008D457D"/>
    <w:rsid w:val="008D4B33"/>
    <w:rsid w:val="008D646F"/>
    <w:rsid w:val="008D6968"/>
    <w:rsid w:val="008D6C3B"/>
    <w:rsid w:val="008D7544"/>
    <w:rsid w:val="008D7947"/>
    <w:rsid w:val="008E24CB"/>
    <w:rsid w:val="008E3613"/>
    <w:rsid w:val="008E6F55"/>
    <w:rsid w:val="008E6F91"/>
    <w:rsid w:val="008F090D"/>
    <w:rsid w:val="008F1D7A"/>
    <w:rsid w:val="008F5684"/>
    <w:rsid w:val="008F64C1"/>
    <w:rsid w:val="009011F9"/>
    <w:rsid w:val="00902538"/>
    <w:rsid w:val="00903573"/>
    <w:rsid w:val="009038CB"/>
    <w:rsid w:val="00904268"/>
    <w:rsid w:val="009053DB"/>
    <w:rsid w:val="00905654"/>
    <w:rsid w:val="009107F4"/>
    <w:rsid w:val="00911FD9"/>
    <w:rsid w:val="00912A6C"/>
    <w:rsid w:val="00912F87"/>
    <w:rsid w:val="00913DDE"/>
    <w:rsid w:val="009174ED"/>
    <w:rsid w:val="00920904"/>
    <w:rsid w:val="00920917"/>
    <w:rsid w:val="00921E6E"/>
    <w:rsid w:val="00924415"/>
    <w:rsid w:val="00925847"/>
    <w:rsid w:val="00925B1D"/>
    <w:rsid w:val="00925F8E"/>
    <w:rsid w:val="00926242"/>
    <w:rsid w:val="009264F5"/>
    <w:rsid w:val="00927804"/>
    <w:rsid w:val="00927A5C"/>
    <w:rsid w:val="00927E2E"/>
    <w:rsid w:val="00930A41"/>
    <w:rsid w:val="00931551"/>
    <w:rsid w:val="00931DB3"/>
    <w:rsid w:val="00931DB5"/>
    <w:rsid w:val="00933881"/>
    <w:rsid w:val="00933DAA"/>
    <w:rsid w:val="00933E66"/>
    <w:rsid w:val="009342EF"/>
    <w:rsid w:val="009359F0"/>
    <w:rsid w:val="00937EFC"/>
    <w:rsid w:val="009430F0"/>
    <w:rsid w:val="00946B21"/>
    <w:rsid w:val="00946B65"/>
    <w:rsid w:val="00946F87"/>
    <w:rsid w:val="00950163"/>
    <w:rsid w:val="00951A43"/>
    <w:rsid w:val="00951C17"/>
    <w:rsid w:val="00952221"/>
    <w:rsid w:val="009526EA"/>
    <w:rsid w:val="00952774"/>
    <w:rsid w:val="009527D7"/>
    <w:rsid w:val="00953D52"/>
    <w:rsid w:val="009543BC"/>
    <w:rsid w:val="0095530F"/>
    <w:rsid w:val="009561F7"/>
    <w:rsid w:val="00957316"/>
    <w:rsid w:val="00957B11"/>
    <w:rsid w:val="00957B70"/>
    <w:rsid w:val="00960DA6"/>
    <w:rsid w:val="0096118E"/>
    <w:rsid w:val="00961DDF"/>
    <w:rsid w:val="00962AE7"/>
    <w:rsid w:val="00964A8E"/>
    <w:rsid w:val="00966A8B"/>
    <w:rsid w:val="009676AD"/>
    <w:rsid w:val="00971697"/>
    <w:rsid w:val="00971AF5"/>
    <w:rsid w:val="009727C8"/>
    <w:rsid w:val="00973B2E"/>
    <w:rsid w:val="00973BF7"/>
    <w:rsid w:val="00974AC9"/>
    <w:rsid w:val="00975220"/>
    <w:rsid w:val="009763B4"/>
    <w:rsid w:val="0097654F"/>
    <w:rsid w:val="0098117F"/>
    <w:rsid w:val="00981A97"/>
    <w:rsid w:val="00983263"/>
    <w:rsid w:val="00984644"/>
    <w:rsid w:val="00984908"/>
    <w:rsid w:val="00984909"/>
    <w:rsid w:val="00984C42"/>
    <w:rsid w:val="009867E8"/>
    <w:rsid w:val="009902D4"/>
    <w:rsid w:val="009909A6"/>
    <w:rsid w:val="00990F40"/>
    <w:rsid w:val="009948DA"/>
    <w:rsid w:val="00994BD8"/>
    <w:rsid w:val="00994C0A"/>
    <w:rsid w:val="00995A12"/>
    <w:rsid w:val="009960DE"/>
    <w:rsid w:val="009A0380"/>
    <w:rsid w:val="009A0705"/>
    <w:rsid w:val="009A1926"/>
    <w:rsid w:val="009A1CBC"/>
    <w:rsid w:val="009A2949"/>
    <w:rsid w:val="009A48E4"/>
    <w:rsid w:val="009A5449"/>
    <w:rsid w:val="009B0BDB"/>
    <w:rsid w:val="009B16A6"/>
    <w:rsid w:val="009B3A63"/>
    <w:rsid w:val="009B3CC9"/>
    <w:rsid w:val="009B3F3D"/>
    <w:rsid w:val="009B46A4"/>
    <w:rsid w:val="009B49F5"/>
    <w:rsid w:val="009B62F7"/>
    <w:rsid w:val="009B752F"/>
    <w:rsid w:val="009C0B66"/>
    <w:rsid w:val="009C1BA0"/>
    <w:rsid w:val="009C47DA"/>
    <w:rsid w:val="009C4B52"/>
    <w:rsid w:val="009C51D9"/>
    <w:rsid w:val="009C55A6"/>
    <w:rsid w:val="009C5C3E"/>
    <w:rsid w:val="009C5CA9"/>
    <w:rsid w:val="009C5FD2"/>
    <w:rsid w:val="009D0249"/>
    <w:rsid w:val="009D101F"/>
    <w:rsid w:val="009D17C8"/>
    <w:rsid w:val="009D357E"/>
    <w:rsid w:val="009D3A27"/>
    <w:rsid w:val="009D3BF6"/>
    <w:rsid w:val="009D3EBA"/>
    <w:rsid w:val="009D4D18"/>
    <w:rsid w:val="009D520D"/>
    <w:rsid w:val="009D60EE"/>
    <w:rsid w:val="009D6E59"/>
    <w:rsid w:val="009D70FC"/>
    <w:rsid w:val="009E373D"/>
    <w:rsid w:val="009E3FC4"/>
    <w:rsid w:val="009E4994"/>
    <w:rsid w:val="009E4BBB"/>
    <w:rsid w:val="009F062A"/>
    <w:rsid w:val="009F27E5"/>
    <w:rsid w:val="009F403F"/>
    <w:rsid w:val="009F4D4C"/>
    <w:rsid w:val="009F4E1F"/>
    <w:rsid w:val="009F5C08"/>
    <w:rsid w:val="009F5F14"/>
    <w:rsid w:val="009F6A65"/>
    <w:rsid w:val="009F7B0E"/>
    <w:rsid w:val="00A00357"/>
    <w:rsid w:val="00A02255"/>
    <w:rsid w:val="00A03279"/>
    <w:rsid w:val="00A03A48"/>
    <w:rsid w:val="00A05E92"/>
    <w:rsid w:val="00A06E60"/>
    <w:rsid w:val="00A1157E"/>
    <w:rsid w:val="00A153AB"/>
    <w:rsid w:val="00A170D9"/>
    <w:rsid w:val="00A21827"/>
    <w:rsid w:val="00A21C24"/>
    <w:rsid w:val="00A21F70"/>
    <w:rsid w:val="00A23930"/>
    <w:rsid w:val="00A23F61"/>
    <w:rsid w:val="00A246D1"/>
    <w:rsid w:val="00A255D1"/>
    <w:rsid w:val="00A255D4"/>
    <w:rsid w:val="00A25FE4"/>
    <w:rsid w:val="00A26263"/>
    <w:rsid w:val="00A27145"/>
    <w:rsid w:val="00A3075A"/>
    <w:rsid w:val="00A31A76"/>
    <w:rsid w:val="00A32C76"/>
    <w:rsid w:val="00A3322F"/>
    <w:rsid w:val="00A3528A"/>
    <w:rsid w:val="00A36698"/>
    <w:rsid w:val="00A4017A"/>
    <w:rsid w:val="00A40212"/>
    <w:rsid w:val="00A40F9D"/>
    <w:rsid w:val="00A4220D"/>
    <w:rsid w:val="00A4295F"/>
    <w:rsid w:val="00A44B2C"/>
    <w:rsid w:val="00A45A74"/>
    <w:rsid w:val="00A4632D"/>
    <w:rsid w:val="00A465EB"/>
    <w:rsid w:val="00A502FC"/>
    <w:rsid w:val="00A518BF"/>
    <w:rsid w:val="00A52783"/>
    <w:rsid w:val="00A54BE7"/>
    <w:rsid w:val="00A54D08"/>
    <w:rsid w:val="00A55652"/>
    <w:rsid w:val="00A56336"/>
    <w:rsid w:val="00A56812"/>
    <w:rsid w:val="00A5719B"/>
    <w:rsid w:val="00A61DD0"/>
    <w:rsid w:val="00A66323"/>
    <w:rsid w:val="00A71191"/>
    <w:rsid w:val="00A72655"/>
    <w:rsid w:val="00A72745"/>
    <w:rsid w:val="00A72FA8"/>
    <w:rsid w:val="00A73066"/>
    <w:rsid w:val="00A761A2"/>
    <w:rsid w:val="00A807D6"/>
    <w:rsid w:val="00A82B9E"/>
    <w:rsid w:val="00A8358E"/>
    <w:rsid w:val="00A836A5"/>
    <w:rsid w:val="00A84685"/>
    <w:rsid w:val="00A91494"/>
    <w:rsid w:val="00A917A3"/>
    <w:rsid w:val="00A9458C"/>
    <w:rsid w:val="00A94A1C"/>
    <w:rsid w:val="00A94C6D"/>
    <w:rsid w:val="00A952AF"/>
    <w:rsid w:val="00A963FB"/>
    <w:rsid w:val="00A97384"/>
    <w:rsid w:val="00AA0E8A"/>
    <w:rsid w:val="00AA1D60"/>
    <w:rsid w:val="00AA2CCA"/>
    <w:rsid w:val="00AA38FA"/>
    <w:rsid w:val="00AA4664"/>
    <w:rsid w:val="00AA4BA1"/>
    <w:rsid w:val="00AA56D4"/>
    <w:rsid w:val="00AB35FD"/>
    <w:rsid w:val="00AB556E"/>
    <w:rsid w:val="00AB58BA"/>
    <w:rsid w:val="00AB5BC7"/>
    <w:rsid w:val="00AB6637"/>
    <w:rsid w:val="00AB739C"/>
    <w:rsid w:val="00AC185A"/>
    <w:rsid w:val="00AC2A25"/>
    <w:rsid w:val="00AC5332"/>
    <w:rsid w:val="00AC53C7"/>
    <w:rsid w:val="00AC548C"/>
    <w:rsid w:val="00AC56B6"/>
    <w:rsid w:val="00AC59F4"/>
    <w:rsid w:val="00AC5CD8"/>
    <w:rsid w:val="00AC6373"/>
    <w:rsid w:val="00AC6A06"/>
    <w:rsid w:val="00AD024E"/>
    <w:rsid w:val="00AD0B87"/>
    <w:rsid w:val="00AD3AC1"/>
    <w:rsid w:val="00AD4459"/>
    <w:rsid w:val="00AD58FC"/>
    <w:rsid w:val="00AD6FE9"/>
    <w:rsid w:val="00AE1E4D"/>
    <w:rsid w:val="00AE3145"/>
    <w:rsid w:val="00AE364D"/>
    <w:rsid w:val="00AE3AF2"/>
    <w:rsid w:val="00AE549C"/>
    <w:rsid w:val="00AE571A"/>
    <w:rsid w:val="00AE5A9E"/>
    <w:rsid w:val="00AE6A98"/>
    <w:rsid w:val="00AF143A"/>
    <w:rsid w:val="00AF2EC7"/>
    <w:rsid w:val="00AF313E"/>
    <w:rsid w:val="00AF39A3"/>
    <w:rsid w:val="00AF3ACE"/>
    <w:rsid w:val="00AF4104"/>
    <w:rsid w:val="00AF4402"/>
    <w:rsid w:val="00AF634D"/>
    <w:rsid w:val="00AF6742"/>
    <w:rsid w:val="00AF7A8F"/>
    <w:rsid w:val="00B004AA"/>
    <w:rsid w:val="00B02025"/>
    <w:rsid w:val="00B02089"/>
    <w:rsid w:val="00B02B1B"/>
    <w:rsid w:val="00B038A2"/>
    <w:rsid w:val="00B050D3"/>
    <w:rsid w:val="00B065C8"/>
    <w:rsid w:val="00B1112D"/>
    <w:rsid w:val="00B1299C"/>
    <w:rsid w:val="00B14EDA"/>
    <w:rsid w:val="00B156BE"/>
    <w:rsid w:val="00B15996"/>
    <w:rsid w:val="00B15D9B"/>
    <w:rsid w:val="00B15DA8"/>
    <w:rsid w:val="00B219B0"/>
    <w:rsid w:val="00B227FD"/>
    <w:rsid w:val="00B24678"/>
    <w:rsid w:val="00B30154"/>
    <w:rsid w:val="00B31599"/>
    <w:rsid w:val="00B32D76"/>
    <w:rsid w:val="00B32DE1"/>
    <w:rsid w:val="00B33A26"/>
    <w:rsid w:val="00B33E4B"/>
    <w:rsid w:val="00B344A8"/>
    <w:rsid w:val="00B34B33"/>
    <w:rsid w:val="00B34FEE"/>
    <w:rsid w:val="00B3686B"/>
    <w:rsid w:val="00B36B81"/>
    <w:rsid w:val="00B36C13"/>
    <w:rsid w:val="00B36F0B"/>
    <w:rsid w:val="00B4025E"/>
    <w:rsid w:val="00B4273A"/>
    <w:rsid w:val="00B45389"/>
    <w:rsid w:val="00B478F7"/>
    <w:rsid w:val="00B50386"/>
    <w:rsid w:val="00B506A9"/>
    <w:rsid w:val="00B512F3"/>
    <w:rsid w:val="00B51649"/>
    <w:rsid w:val="00B51B18"/>
    <w:rsid w:val="00B52481"/>
    <w:rsid w:val="00B52EB0"/>
    <w:rsid w:val="00B531C9"/>
    <w:rsid w:val="00B5505D"/>
    <w:rsid w:val="00B55A12"/>
    <w:rsid w:val="00B55B33"/>
    <w:rsid w:val="00B579B9"/>
    <w:rsid w:val="00B60DBA"/>
    <w:rsid w:val="00B61BD7"/>
    <w:rsid w:val="00B62B1F"/>
    <w:rsid w:val="00B62CF0"/>
    <w:rsid w:val="00B64AFF"/>
    <w:rsid w:val="00B66625"/>
    <w:rsid w:val="00B66674"/>
    <w:rsid w:val="00B66A7E"/>
    <w:rsid w:val="00B70375"/>
    <w:rsid w:val="00B70E3F"/>
    <w:rsid w:val="00B70E97"/>
    <w:rsid w:val="00B7188E"/>
    <w:rsid w:val="00B723BE"/>
    <w:rsid w:val="00B723EA"/>
    <w:rsid w:val="00B73A2F"/>
    <w:rsid w:val="00B743D3"/>
    <w:rsid w:val="00B74A09"/>
    <w:rsid w:val="00B752DC"/>
    <w:rsid w:val="00B76215"/>
    <w:rsid w:val="00B76751"/>
    <w:rsid w:val="00B769FC"/>
    <w:rsid w:val="00B77372"/>
    <w:rsid w:val="00B775A3"/>
    <w:rsid w:val="00B77DEB"/>
    <w:rsid w:val="00B80C25"/>
    <w:rsid w:val="00B81CE2"/>
    <w:rsid w:val="00B82409"/>
    <w:rsid w:val="00B8251C"/>
    <w:rsid w:val="00B83220"/>
    <w:rsid w:val="00B832C7"/>
    <w:rsid w:val="00B85691"/>
    <w:rsid w:val="00B8688C"/>
    <w:rsid w:val="00B87457"/>
    <w:rsid w:val="00B90FA1"/>
    <w:rsid w:val="00B91BC6"/>
    <w:rsid w:val="00B934FA"/>
    <w:rsid w:val="00B93EF7"/>
    <w:rsid w:val="00B941F2"/>
    <w:rsid w:val="00B94B2E"/>
    <w:rsid w:val="00B9593E"/>
    <w:rsid w:val="00B95AC3"/>
    <w:rsid w:val="00B9601F"/>
    <w:rsid w:val="00B962A3"/>
    <w:rsid w:val="00B963F0"/>
    <w:rsid w:val="00B96C93"/>
    <w:rsid w:val="00B970D9"/>
    <w:rsid w:val="00BA02E2"/>
    <w:rsid w:val="00BA0A2E"/>
    <w:rsid w:val="00BA0A4F"/>
    <w:rsid w:val="00BA1908"/>
    <w:rsid w:val="00BA2CB1"/>
    <w:rsid w:val="00BA381E"/>
    <w:rsid w:val="00BA3F40"/>
    <w:rsid w:val="00BA4969"/>
    <w:rsid w:val="00BA4B8D"/>
    <w:rsid w:val="00BA53D0"/>
    <w:rsid w:val="00BA74E9"/>
    <w:rsid w:val="00BB1CCB"/>
    <w:rsid w:val="00BB33E1"/>
    <w:rsid w:val="00BB5D8F"/>
    <w:rsid w:val="00BB5F07"/>
    <w:rsid w:val="00BB6670"/>
    <w:rsid w:val="00BB6768"/>
    <w:rsid w:val="00BB7E08"/>
    <w:rsid w:val="00BB7E6A"/>
    <w:rsid w:val="00BC2B9E"/>
    <w:rsid w:val="00BC30DB"/>
    <w:rsid w:val="00BC3239"/>
    <w:rsid w:val="00BC465A"/>
    <w:rsid w:val="00BC5BD1"/>
    <w:rsid w:val="00BC6143"/>
    <w:rsid w:val="00BC7640"/>
    <w:rsid w:val="00BD0BC4"/>
    <w:rsid w:val="00BD3C13"/>
    <w:rsid w:val="00BD422F"/>
    <w:rsid w:val="00BD4E59"/>
    <w:rsid w:val="00BD574E"/>
    <w:rsid w:val="00BD5A0C"/>
    <w:rsid w:val="00BD67A2"/>
    <w:rsid w:val="00BE1626"/>
    <w:rsid w:val="00BE32C6"/>
    <w:rsid w:val="00BE3EE9"/>
    <w:rsid w:val="00BE4F5B"/>
    <w:rsid w:val="00BE562A"/>
    <w:rsid w:val="00BE5FC0"/>
    <w:rsid w:val="00BE6BD9"/>
    <w:rsid w:val="00BE79DB"/>
    <w:rsid w:val="00BF04DC"/>
    <w:rsid w:val="00BF0C92"/>
    <w:rsid w:val="00BF19AB"/>
    <w:rsid w:val="00BF2D7B"/>
    <w:rsid w:val="00BF5789"/>
    <w:rsid w:val="00BF5FA6"/>
    <w:rsid w:val="00BF7636"/>
    <w:rsid w:val="00C0187F"/>
    <w:rsid w:val="00C02518"/>
    <w:rsid w:val="00C0318E"/>
    <w:rsid w:val="00C0370D"/>
    <w:rsid w:val="00C04440"/>
    <w:rsid w:val="00C058CD"/>
    <w:rsid w:val="00C120B5"/>
    <w:rsid w:val="00C124B8"/>
    <w:rsid w:val="00C13590"/>
    <w:rsid w:val="00C1392F"/>
    <w:rsid w:val="00C140C7"/>
    <w:rsid w:val="00C14CC5"/>
    <w:rsid w:val="00C1688A"/>
    <w:rsid w:val="00C17330"/>
    <w:rsid w:val="00C179D1"/>
    <w:rsid w:val="00C17B1D"/>
    <w:rsid w:val="00C20282"/>
    <w:rsid w:val="00C20C96"/>
    <w:rsid w:val="00C20D66"/>
    <w:rsid w:val="00C20EA5"/>
    <w:rsid w:val="00C215D9"/>
    <w:rsid w:val="00C21D3C"/>
    <w:rsid w:val="00C226D8"/>
    <w:rsid w:val="00C2529D"/>
    <w:rsid w:val="00C25520"/>
    <w:rsid w:val="00C264B6"/>
    <w:rsid w:val="00C27321"/>
    <w:rsid w:val="00C27B8D"/>
    <w:rsid w:val="00C30D6A"/>
    <w:rsid w:val="00C31715"/>
    <w:rsid w:val="00C32520"/>
    <w:rsid w:val="00C32DF2"/>
    <w:rsid w:val="00C32E9B"/>
    <w:rsid w:val="00C335E5"/>
    <w:rsid w:val="00C341BE"/>
    <w:rsid w:val="00C34B97"/>
    <w:rsid w:val="00C36626"/>
    <w:rsid w:val="00C37C47"/>
    <w:rsid w:val="00C37D34"/>
    <w:rsid w:val="00C420E2"/>
    <w:rsid w:val="00C43BBD"/>
    <w:rsid w:val="00C44651"/>
    <w:rsid w:val="00C45B86"/>
    <w:rsid w:val="00C461D5"/>
    <w:rsid w:val="00C46CC9"/>
    <w:rsid w:val="00C47281"/>
    <w:rsid w:val="00C47BCB"/>
    <w:rsid w:val="00C51312"/>
    <w:rsid w:val="00C5286F"/>
    <w:rsid w:val="00C53E5E"/>
    <w:rsid w:val="00C54A5E"/>
    <w:rsid w:val="00C5730A"/>
    <w:rsid w:val="00C57AD2"/>
    <w:rsid w:val="00C6019B"/>
    <w:rsid w:val="00C624B8"/>
    <w:rsid w:val="00C64CD2"/>
    <w:rsid w:val="00C64E6B"/>
    <w:rsid w:val="00C65E42"/>
    <w:rsid w:val="00C66135"/>
    <w:rsid w:val="00C66E3B"/>
    <w:rsid w:val="00C7063C"/>
    <w:rsid w:val="00C7194D"/>
    <w:rsid w:val="00C7205A"/>
    <w:rsid w:val="00C73377"/>
    <w:rsid w:val="00C73DBD"/>
    <w:rsid w:val="00C73EF6"/>
    <w:rsid w:val="00C753E5"/>
    <w:rsid w:val="00C757DE"/>
    <w:rsid w:val="00C7682F"/>
    <w:rsid w:val="00C80933"/>
    <w:rsid w:val="00C809B9"/>
    <w:rsid w:val="00C838AC"/>
    <w:rsid w:val="00C85D68"/>
    <w:rsid w:val="00C85DBB"/>
    <w:rsid w:val="00C87A0B"/>
    <w:rsid w:val="00C905BE"/>
    <w:rsid w:val="00C90A58"/>
    <w:rsid w:val="00C91B07"/>
    <w:rsid w:val="00C92A09"/>
    <w:rsid w:val="00C92E31"/>
    <w:rsid w:val="00C93620"/>
    <w:rsid w:val="00C95A7C"/>
    <w:rsid w:val="00C97857"/>
    <w:rsid w:val="00CA0139"/>
    <w:rsid w:val="00CA12B6"/>
    <w:rsid w:val="00CA1492"/>
    <w:rsid w:val="00CA1888"/>
    <w:rsid w:val="00CA1B3A"/>
    <w:rsid w:val="00CA38F2"/>
    <w:rsid w:val="00CA3B72"/>
    <w:rsid w:val="00CA55EE"/>
    <w:rsid w:val="00CA5666"/>
    <w:rsid w:val="00CA69DF"/>
    <w:rsid w:val="00CA7305"/>
    <w:rsid w:val="00CB31F7"/>
    <w:rsid w:val="00CB3B35"/>
    <w:rsid w:val="00CB42F7"/>
    <w:rsid w:val="00CB614F"/>
    <w:rsid w:val="00CC1D1D"/>
    <w:rsid w:val="00CC3FAC"/>
    <w:rsid w:val="00CC4575"/>
    <w:rsid w:val="00CC4D04"/>
    <w:rsid w:val="00CC5422"/>
    <w:rsid w:val="00CC5459"/>
    <w:rsid w:val="00CD04F6"/>
    <w:rsid w:val="00CD1363"/>
    <w:rsid w:val="00CD558E"/>
    <w:rsid w:val="00CD68CD"/>
    <w:rsid w:val="00CD6C96"/>
    <w:rsid w:val="00CE1D3D"/>
    <w:rsid w:val="00CE280A"/>
    <w:rsid w:val="00CE2D20"/>
    <w:rsid w:val="00CE2E6E"/>
    <w:rsid w:val="00CE2F98"/>
    <w:rsid w:val="00CE44D2"/>
    <w:rsid w:val="00CE5FB5"/>
    <w:rsid w:val="00CF1090"/>
    <w:rsid w:val="00CF12B2"/>
    <w:rsid w:val="00CF1B57"/>
    <w:rsid w:val="00CF1CC9"/>
    <w:rsid w:val="00CF264F"/>
    <w:rsid w:val="00CF3D80"/>
    <w:rsid w:val="00CF3FA3"/>
    <w:rsid w:val="00CF4CD4"/>
    <w:rsid w:val="00CF5024"/>
    <w:rsid w:val="00CF598A"/>
    <w:rsid w:val="00CF5A4B"/>
    <w:rsid w:val="00CF6852"/>
    <w:rsid w:val="00CF773A"/>
    <w:rsid w:val="00D00822"/>
    <w:rsid w:val="00D024DE"/>
    <w:rsid w:val="00D028A1"/>
    <w:rsid w:val="00D02948"/>
    <w:rsid w:val="00D031B4"/>
    <w:rsid w:val="00D03CD5"/>
    <w:rsid w:val="00D04260"/>
    <w:rsid w:val="00D044B7"/>
    <w:rsid w:val="00D04804"/>
    <w:rsid w:val="00D10C37"/>
    <w:rsid w:val="00D1181C"/>
    <w:rsid w:val="00D11D66"/>
    <w:rsid w:val="00D11E4E"/>
    <w:rsid w:val="00D13233"/>
    <w:rsid w:val="00D15797"/>
    <w:rsid w:val="00D16757"/>
    <w:rsid w:val="00D17DEC"/>
    <w:rsid w:val="00D202BC"/>
    <w:rsid w:val="00D20AD6"/>
    <w:rsid w:val="00D243E2"/>
    <w:rsid w:val="00D243E4"/>
    <w:rsid w:val="00D24AAD"/>
    <w:rsid w:val="00D24F8F"/>
    <w:rsid w:val="00D253C5"/>
    <w:rsid w:val="00D26AFC"/>
    <w:rsid w:val="00D314B1"/>
    <w:rsid w:val="00D31F1A"/>
    <w:rsid w:val="00D31F31"/>
    <w:rsid w:val="00D3296B"/>
    <w:rsid w:val="00D32A17"/>
    <w:rsid w:val="00D3352E"/>
    <w:rsid w:val="00D33BC2"/>
    <w:rsid w:val="00D369A8"/>
    <w:rsid w:val="00D40DBC"/>
    <w:rsid w:val="00D4251F"/>
    <w:rsid w:val="00D428CA"/>
    <w:rsid w:val="00D4525E"/>
    <w:rsid w:val="00D45F52"/>
    <w:rsid w:val="00D4667B"/>
    <w:rsid w:val="00D51738"/>
    <w:rsid w:val="00D52750"/>
    <w:rsid w:val="00D5769F"/>
    <w:rsid w:val="00D57ACB"/>
    <w:rsid w:val="00D60473"/>
    <w:rsid w:val="00D625FE"/>
    <w:rsid w:val="00D63488"/>
    <w:rsid w:val="00D63985"/>
    <w:rsid w:val="00D646B2"/>
    <w:rsid w:val="00D65964"/>
    <w:rsid w:val="00D66206"/>
    <w:rsid w:val="00D67EB7"/>
    <w:rsid w:val="00D71947"/>
    <w:rsid w:val="00D7264B"/>
    <w:rsid w:val="00D73047"/>
    <w:rsid w:val="00D7327E"/>
    <w:rsid w:val="00D7394E"/>
    <w:rsid w:val="00D76014"/>
    <w:rsid w:val="00D76B30"/>
    <w:rsid w:val="00D80D0E"/>
    <w:rsid w:val="00D81005"/>
    <w:rsid w:val="00D852E3"/>
    <w:rsid w:val="00D875D4"/>
    <w:rsid w:val="00D90070"/>
    <w:rsid w:val="00D927C7"/>
    <w:rsid w:val="00D93094"/>
    <w:rsid w:val="00D94C62"/>
    <w:rsid w:val="00D94DA4"/>
    <w:rsid w:val="00D95103"/>
    <w:rsid w:val="00D95CF6"/>
    <w:rsid w:val="00D96A37"/>
    <w:rsid w:val="00D97012"/>
    <w:rsid w:val="00D97930"/>
    <w:rsid w:val="00DA0000"/>
    <w:rsid w:val="00DA1272"/>
    <w:rsid w:val="00DA23E0"/>
    <w:rsid w:val="00DA3E9D"/>
    <w:rsid w:val="00DA4158"/>
    <w:rsid w:val="00DA4729"/>
    <w:rsid w:val="00DA499F"/>
    <w:rsid w:val="00DA5357"/>
    <w:rsid w:val="00DA562F"/>
    <w:rsid w:val="00DA67D3"/>
    <w:rsid w:val="00DB1AF0"/>
    <w:rsid w:val="00DB240C"/>
    <w:rsid w:val="00DB593D"/>
    <w:rsid w:val="00DB64F2"/>
    <w:rsid w:val="00DC0E2C"/>
    <w:rsid w:val="00DC1B24"/>
    <w:rsid w:val="00DC1E01"/>
    <w:rsid w:val="00DC2FEA"/>
    <w:rsid w:val="00DC434E"/>
    <w:rsid w:val="00DC5BBA"/>
    <w:rsid w:val="00DD0FEB"/>
    <w:rsid w:val="00DD1005"/>
    <w:rsid w:val="00DD1427"/>
    <w:rsid w:val="00DD2A4E"/>
    <w:rsid w:val="00DD46E4"/>
    <w:rsid w:val="00DD5F26"/>
    <w:rsid w:val="00DD601C"/>
    <w:rsid w:val="00DE2589"/>
    <w:rsid w:val="00DE31B7"/>
    <w:rsid w:val="00DE3F77"/>
    <w:rsid w:val="00DE4295"/>
    <w:rsid w:val="00DE783C"/>
    <w:rsid w:val="00DF15FC"/>
    <w:rsid w:val="00DF4E67"/>
    <w:rsid w:val="00DF6E82"/>
    <w:rsid w:val="00DF7094"/>
    <w:rsid w:val="00DF7343"/>
    <w:rsid w:val="00E00250"/>
    <w:rsid w:val="00E0176E"/>
    <w:rsid w:val="00E034BD"/>
    <w:rsid w:val="00E03733"/>
    <w:rsid w:val="00E043E1"/>
    <w:rsid w:val="00E07C58"/>
    <w:rsid w:val="00E07F76"/>
    <w:rsid w:val="00E108FD"/>
    <w:rsid w:val="00E10CA6"/>
    <w:rsid w:val="00E10FB2"/>
    <w:rsid w:val="00E1185C"/>
    <w:rsid w:val="00E12188"/>
    <w:rsid w:val="00E13315"/>
    <w:rsid w:val="00E146E5"/>
    <w:rsid w:val="00E150B0"/>
    <w:rsid w:val="00E15D2B"/>
    <w:rsid w:val="00E16166"/>
    <w:rsid w:val="00E17897"/>
    <w:rsid w:val="00E17EE3"/>
    <w:rsid w:val="00E21678"/>
    <w:rsid w:val="00E23259"/>
    <w:rsid w:val="00E23A34"/>
    <w:rsid w:val="00E23D03"/>
    <w:rsid w:val="00E24A5D"/>
    <w:rsid w:val="00E24D3B"/>
    <w:rsid w:val="00E2746A"/>
    <w:rsid w:val="00E324B6"/>
    <w:rsid w:val="00E33FD6"/>
    <w:rsid w:val="00E34856"/>
    <w:rsid w:val="00E40D6E"/>
    <w:rsid w:val="00E413E3"/>
    <w:rsid w:val="00E41F81"/>
    <w:rsid w:val="00E42A38"/>
    <w:rsid w:val="00E43770"/>
    <w:rsid w:val="00E44E46"/>
    <w:rsid w:val="00E465B2"/>
    <w:rsid w:val="00E46621"/>
    <w:rsid w:val="00E46B09"/>
    <w:rsid w:val="00E47B2B"/>
    <w:rsid w:val="00E47B94"/>
    <w:rsid w:val="00E51569"/>
    <w:rsid w:val="00E525B7"/>
    <w:rsid w:val="00E5450C"/>
    <w:rsid w:val="00E546CC"/>
    <w:rsid w:val="00E54FCD"/>
    <w:rsid w:val="00E56406"/>
    <w:rsid w:val="00E569A6"/>
    <w:rsid w:val="00E56E2B"/>
    <w:rsid w:val="00E60984"/>
    <w:rsid w:val="00E610A6"/>
    <w:rsid w:val="00E62A16"/>
    <w:rsid w:val="00E67456"/>
    <w:rsid w:val="00E679E3"/>
    <w:rsid w:val="00E70049"/>
    <w:rsid w:val="00E702F6"/>
    <w:rsid w:val="00E73A0B"/>
    <w:rsid w:val="00E73C56"/>
    <w:rsid w:val="00E755A1"/>
    <w:rsid w:val="00E76D61"/>
    <w:rsid w:val="00E8056B"/>
    <w:rsid w:val="00E8128E"/>
    <w:rsid w:val="00E818CA"/>
    <w:rsid w:val="00E82C53"/>
    <w:rsid w:val="00E832E3"/>
    <w:rsid w:val="00E833F4"/>
    <w:rsid w:val="00E83A8D"/>
    <w:rsid w:val="00E86185"/>
    <w:rsid w:val="00E92D5B"/>
    <w:rsid w:val="00E92FA2"/>
    <w:rsid w:val="00E93C80"/>
    <w:rsid w:val="00E9428B"/>
    <w:rsid w:val="00E9589C"/>
    <w:rsid w:val="00E9783D"/>
    <w:rsid w:val="00EA3D3B"/>
    <w:rsid w:val="00EA5A12"/>
    <w:rsid w:val="00EA5D5D"/>
    <w:rsid w:val="00EA793D"/>
    <w:rsid w:val="00EA7AC6"/>
    <w:rsid w:val="00EA7E52"/>
    <w:rsid w:val="00EB017B"/>
    <w:rsid w:val="00EB0A23"/>
    <w:rsid w:val="00EB0B48"/>
    <w:rsid w:val="00EB0B94"/>
    <w:rsid w:val="00EB4BEC"/>
    <w:rsid w:val="00EB4FF6"/>
    <w:rsid w:val="00EB74B5"/>
    <w:rsid w:val="00EC062C"/>
    <w:rsid w:val="00EC2174"/>
    <w:rsid w:val="00EC2B48"/>
    <w:rsid w:val="00EC48B2"/>
    <w:rsid w:val="00EC6E97"/>
    <w:rsid w:val="00ED00E9"/>
    <w:rsid w:val="00ED0187"/>
    <w:rsid w:val="00ED0B5C"/>
    <w:rsid w:val="00ED2DB3"/>
    <w:rsid w:val="00ED3D12"/>
    <w:rsid w:val="00ED501E"/>
    <w:rsid w:val="00ED5DCB"/>
    <w:rsid w:val="00ED6687"/>
    <w:rsid w:val="00ED6D2E"/>
    <w:rsid w:val="00ED6E22"/>
    <w:rsid w:val="00EE1198"/>
    <w:rsid w:val="00EE2215"/>
    <w:rsid w:val="00EE33A7"/>
    <w:rsid w:val="00EE3648"/>
    <w:rsid w:val="00EE39EC"/>
    <w:rsid w:val="00EE58B2"/>
    <w:rsid w:val="00EF0AA7"/>
    <w:rsid w:val="00EF148F"/>
    <w:rsid w:val="00EF3038"/>
    <w:rsid w:val="00EF4EB5"/>
    <w:rsid w:val="00EF6C52"/>
    <w:rsid w:val="00F00476"/>
    <w:rsid w:val="00F00DE8"/>
    <w:rsid w:val="00F00EA6"/>
    <w:rsid w:val="00F012C2"/>
    <w:rsid w:val="00F02276"/>
    <w:rsid w:val="00F033BD"/>
    <w:rsid w:val="00F037DD"/>
    <w:rsid w:val="00F04A26"/>
    <w:rsid w:val="00F04D87"/>
    <w:rsid w:val="00F05687"/>
    <w:rsid w:val="00F07809"/>
    <w:rsid w:val="00F104CB"/>
    <w:rsid w:val="00F10F76"/>
    <w:rsid w:val="00F12977"/>
    <w:rsid w:val="00F12E7C"/>
    <w:rsid w:val="00F131B6"/>
    <w:rsid w:val="00F1776C"/>
    <w:rsid w:val="00F21D50"/>
    <w:rsid w:val="00F2377E"/>
    <w:rsid w:val="00F24BF7"/>
    <w:rsid w:val="00F253EC"/>
    <w:rsid w:val="00F2641F"/>
    <w:rsid w:val="00F265E8"/>
    <w:rsid w:val="00F27C83"/>
    <w:rsid w:val="00F304B3"/>
    <w:rsid w:val="00F30514"/>
    <w:rsid w:val="00F30A69"/>
    <w:rsid w:val="00F31BC6"/>
    <w:rsid w:val="00F32394"/>
    <w:rsid w:val="00F33B87"/>
    <w:rsid w:val="00F36771"/>
    <w:rsid w:val="00F374F7"/>
    <w:rsid w:val="00F418FF"/>
    <w:rsid w:val="00F44894"/>
    <w:rsid w:val="00F44A4E"/>
    <w:rsid w:val="00F4521C"/>
    <w:rsid w:val="00F47AB9"/>
    <w:rsid w:val="00F5045B"/>
    <w:rsid w:val="00F507B3"/>
    <w:rsid w:val="00F51193"/>
    <w:rsid w:val="00F5131A"/>
    <w:rsid w:val="00F516D8"/>
    <w:rsid w:val="00F5535E"/>
    <w:rsid w:val="00F56A01"/>
    <w:rsid w:val="00F57B02"/>
    <w:rsid w:val="00F604E7"/>
    <w:rsid w:val="00F6398E"/>
    <w:rsid w:val="00F65629"/>
    <w:rsid w:val="00F72990"/>
    <w:rsid w:val="00F73CA1"/>
    <w:rsid w:val="00F7453D"/>
    <w:rsid w:val="00F74544"/>
    <w:rsid w:val="00F74896"/>
    <w:rsid w:val="00F74ECB"/>
    <w:rsid w:val="00F76923"/>
    <w:rsid w:val="00F8000A"/>
    <w:rsid w:val="00F8194F"/>
    <w:rsid w:val="00F81EF5"/>
    <w:rsid w:val="00F82D75"/>
    <w:rsid w:val="00F83486"/>
    <w:rsid w:val="00F83A1E"/>
    <w:rsid w:val="00F85AFC"/>
    <w:rsid w:val="00F8633C"/>
    <w:rsid w:val="00F86FF4"/>
    <w:rsid w:val="00F87A87"/>
    <w:rsid w:val="00F90686"/>
    <w:rsid w:val="00F9194F"/>
    <w:rsid w:val="00F93CC3"/>
    <w:rsid w:val="00F93E67"/>
    <w:rsid w:val="00F95C52"/>
    <w:rsid w:val="00F963F6"/>
    <w:rsid w:val="00F96EE1"/>
    <w:rsid w:val="00FA2FB6"/>
    <w:rsid w:val="00FA30EA"/>
    <w:rsid w:val="00FA3615"/>
    <w:rsid w:val="00FA4ACF"/>
    <w:rsid w:val="00FA5C5E"/>
    <w:rsid w:val="00FA622D"/>
    <w:rsid w:val="00FA6E0B"/>
    <w:rsid w:val="00FB049D"/>
    <w:rsid w:val="00FB0E4D"/>
    <w:rsid w:val="00FB1465"/>
    <w:rsid w:val="00FB1C1E"/>
    <w:rsid w:val="00FB21C4"/>
    <w:rsid w:val="00FB36C7"/>
    <w:rsid w:val="00FB400A"/>
    <w:rsid w:val="00FB44B9"/>
    <w:rsid w:val="00FB502D"/>
    <w:rsid w:val="00FB55F0"/>
    <w:rsid w:val="00FB59B9"/>
    <w:rsid w:val="00FB5AF1"/>
    <w:rsid w:val="00FC018F"/>
    <w:rsid w:val="00FC14A5"/>
    <w:rsid w:val="00FC2084"/>
    <w:rsid w:val="00FC2452"/>
    <w:rsid w:val="00FC271C"/>
    <w:rsid w:val="00FC29B5"/>
    <w:rsid w:val="00FC392F"/>
    <w:rsid w:val="00FC5576"/>
    <w:rsid w:val="00FC6188"/>
    <w:rsid w:val="00FC6A7C"/>
    <w:rsid w:val="00FD000D"/>
    <w:rsid w:val="00FD09C5"/>
    <w:rsid w:val="00FD0ACD"/>
    <w:rsid w:val="00FD0C90"/>
    <w:rsid w:val="00FD168B"/>
    <w:rsid w:val="00FD47DA"/>
    <w:rsid w:val="00FE1839"/>
    <w:rsid w:val="00FE1B72"/>
    <w:rsid w:val="00FE29E3"/>
    <w:rsid w:val="00FE2CC0"/>
    <w:rsid w:val="00FE43C1"/>
    <w:rsid w:val="00FE4B8F"/>
    <w:rsid w:val="00FE6D72"/>
    <w:rsid w:val="00FE74A4"/>
    <w:rsid w:val="00FE754F"/>
    <w:rsid w:val="00FE7F43"/>
    <w:rsid w:val="00FF08E2"/>
    <w:rsid w:val="00FF09D9"/>
    <w:rsid w:val="00FF25F7"/>
    <w:rsid w:val="00FF3AA5"/>
    <w:rsid w:val="00FF3DB6"/>
    <w:rsid w:val="00FF5BE6"/>
    <w:rsid w:val="00FF5FFE"/>
    <w:rsid w:val="00FF67D8"/>
    <w:rsid w:val="00FF768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50DAD"/>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50DAD"/>
    <w:rPr>
      <w:b/>
      <w:bCs/>
    </w:rPr>
  </w:style>
</w:styles>
</file>

<file path=word/webSettings.xml><?xml version="1.0" encoding="utf-8"?>
<w:webSettings xmlns:r="http://schemas.openxmlformats.org/officeDocument/2006/relationships" xmlns:w="http://schemas.openxmlformats.org/wordprocessingml/2006/main">
  <w:divs>
    <w:div w:id="147601318">
      <w:bodyDiv w:val="1"/>
      <w:marLeft w:val="0"/>
      <w:marRight w:val="0"/>
      <w:marTop w:val="0"/>
      <w:marBottom w:val="0"/>
      <w:divBdr>
        <w:top w:val="none" w:sz="0" w:space="0" w:color="auto"/>
        <w:left w:val="none" w:sz="0" w:space="0" w:color="auto"/>
        <w:bottom w:val="none" w:sz="0" w:space="0" w:color="auto"/>
        <w:right w:val="none" w:sz="0" w:space="0" w:color="auto"/>
      </w:divBdr>
      <w:divsChild>
        <w:div w:id="1218972466">
          <w:marLeft w:val="0"/>
          <w:marRight w:val="0"/>
          <w:marTop w:val="0"/>
          <w:marBottom w:val="0"/>
          <w:divBdr>
            <w:top w:val="none" w:sz="0" w:space="0" w:color="auto"/>
            <w:left w:val="none" w:sz="0" w:space="0" w:color="auto"/>
            <w:bottom w:val="none" w:sz="0" w:space="0" w:color="auto"/>
            <w:right w:val="none" w:sz="0" w:space="0" w:color="auto"/>
          </w:divBdr>
        </w:div>
        <w:div w:id="240216464">
          <w:marLeft w:val="0"/>
          <w:marRight w:val="0"/>
          <w:marTop w:val="0"/>
          <w:marBottom w:val="0"/>
          <w:divBdr>
            <w:top w:val="none" w:sz="0" w:space="0" w:color="auto"/>
            <w:left w:val="none" w:sz="0" w:space="0" w:color="auto"/>
            <w:bottom w:val="none" w:sz="0" w:space="0" w:color="auto"/>
            <w:right w:val="none" w:sz="0" w:space="0" w:color="auto"/>
          </w:divBdr>
        </w:div>
        <w:div w:id="147089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7585</Words>
  <Characters>43237</Characters>
  <Application>Microsoft Office Word</Application>
  <DocSecurity>0</DocSecurity>
  <Lines>360</Lines>
  <Paragraphs>101</Paragraphs>
  <ScaleCrop>false</ScaleCrop>
  <Company/>
  <LinksUpToDate>false</LinksUpToDate>
  <CharactersWithSpaces>50721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alina.aganovic</dc:creator>
  <cp:lastModifiedBy>alina.aganovic</cp:lastModifiedBy>
  <cp:revision>2</cp:revision>
  <dcterms:created xsi:type="dcterms:W3CDTF">2021-09-30T10:57:00Z</dcterms:created>
  <dcterms:modified xsi:type="dcterms:W3CDTF">2021-09-30T11:08:00Z</dcterms:modified>
</cp:coreProperties>
</file>